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2E3E9" w14:textId="5F8F5903" w:rsidR="00C31030" w:rsidRPr="00CB69CF" w:rsidRDefault="00B6590E" w:rsidP="00C31030">
      <w:pPr>
        <w:spacing w:before="120" w:after="0"/>
      </w:pPr>
      <w:r>
        <w:rPr>
          <w:noProof/>
          <w:lang w:eastAsia="en-US"/>
        </w:rPr>
        <w:drawing>
          <wp:anchor distT="0" distB="0" distL="114300" distR="114300" simplePos="0" relativeHeight="251659264" behindDoc="0" locked="0" layoutInCell="1" allowOverlap="1" wp14:anchorId="46816B77" wp14:editId="6E049197">
            <wp:simplePos x="0" y="0"/>
            <wp:positionH relativeFrom="margin">
              <wp:posOffset>-1150620</wp:posOffset>
            </wp:positionH>
            <wp:positionV relativeFrom="margin">
              <wp:posOffset>-922020</wp:posOffset>
            </wp:positionV>
            <wp:extent cx="7875905" cy="1341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rhead.jpg"/>
                    <pic:cNvPicPr/>
                  </pic:nvPicPr>
                  <pic:blipFill rotWithShape="1">
                    <a:blip r:embed="rId8">
                      <a:extLst>
                        <a:ext uri="{28A0092B-C50C-407E-A947-70E740481C1C}">
                          <a14:useLocalDpi xmlns:a14="http://schemas.microsoft.com/office/drawing/2010/main" val="0"/>
                        </a:ext>
                      </a:extLst>
                    </a:blip>
                    <a:srcRect b="42105"/>
                    <a:stretch/>
                  </pic:blipFill>
                  <pic:spPr bwMode="auto">
                    <a:xfrm>
                      <a:off x="0" y="0"/>
                      <a:ext cx="7875905" cy="1341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1030" w:rsidRPr="00CB69CF">
        <w:t>February 21, 2013</w:t>
      </w:r>
    </w:p>
    <w:p w14:paraId="7FFE430C" w14:textId="77777777" w:rsidR="00C31030" w:rsidRPr="00CB69CF" w:rsidRDefault="00C31030" w:rsidP="00C31030">
      <w:pPr>
        <w:pStyle w:val="Default"/>
        <w:rPr>
          <w:rFonts w:asciiTheme="minorHAnsi" w:hAnsiTheme="minorHAnsi"/>
        </w:rPr>
      </w:pPr>
    </w:p>
    <w:p w14:paraId="585F28A8" w14:textId="77777777" w:rsidR="00C31030" w:rsidRPr="00CB69CF" w:rsidRDefault="00C31030" w:rsidP="00C31030">
      <w:pPr>
        <w:pStyle w:val="Default"/>
        <w:rPr>
          <w:rFonts w:asciiTheme="minorHAnsi" w:hAnsiTheme="minorHAnsi"/>
          <w:b/>
        </w:rPr>
      </w:pPr>
      <w:r w:rsidRPr="00CB69CF">
        <w:rPr>
          <w:rFonts w:asciiTheme="minorHAnsi" w:hAnsiTheme="minorHAnsi"/>
          <w:b/>
        </w:rPr>
        <w:t xml:space="preserve">VIA ELECTRONIC SUBMISSION </w:t>
      </w:r>
    </w:p>
    <w:p w14:paraId="55A79444" w14:textId="77777777" w:rsidR="00C31030" w:rsidRPr="00CB69CF" w:rsidRDefault="00C31030" w:rsidP="00C31030">
      <w:pPr>
        <w:pStyle w:val="Default"/>
        <w:rPr>
          <w:rFonts w:asciiTheme="minorHAnsi" w:hAnsiTheme="minorHAnsi"/>
          <w:b/>
        </w:rPr>
      </w:pPr>
    </w:p>
    <w:p w14:paraId="18EFC960" w14:textId="77777777" w:rsidR="00C31030" w:rsidRPr="00CB69CF" w:rsidRDefault="00C31030" w:rsidP="00C31030">
      <w:pPr>
        <w:rPr>
          <w:rFonts w:cs="Arial"/>
        </w:rPr>
      </w:pPr>
      <w:r w:rsidRPr="00CB69CF">
        <w:rPr>
          <w:rFonts w:cs="Arial"/>
        </w:rPr>
        <w:t>Centers for Medicare &amp; Medicaid Services</w:t>
      </w:r>
      <w:r>
        <w:rPr>
          <w:rFonts w:cs="Arial"/>
        </w:rPr>
        <w:br/>
      </w:r>
      <w:r w:rsidRPr="00CB69CF">
        <w:rPr>
          <w:rFonts w:cs="Arial"/>
        </w:rPr>
        <w:t>Department of Health and Human Services</w:t>
      </w:r>
      <w:r>
        <w:rPr>
          <w:rFonts w:cs="Arial"/>
        </w:rPr>
        <w:br/>
      </w:r>
      <w:r w:rsidRPr="00CB69CF">
        <w:rPr>
          <w:rFonts w:cs="Arial"/>
        </w:rPr>
        <w:t>P.O. Box 8016</w:t>
      </w:r>
      <w:r>
        <w:rPr>
          <w:rFonts w:cs="Arial"/>
        </w:rPr>
        <w:br/>
      </w:r>
      <w:r w:rsidRPr="00CB69CF">
        <w:rPr>
          <w:rFonts w:cs="Arial"/>
        </w:rPr>
        <w:t>Baltimore, MD 21244-8016</w:t>
      </w:r>
    </w:p>
    <w:p w14:paraId="420D2517" w14:textId="77777777" w:rsidR="00C31030" w:rsidRPr="00CB69CF" w:rsidRDefault="00C31030" w:rsidP="00C31030">
      <w:pPr>
        <w:rPr>
          <w:rFonts w:cs="Arial"/>
          <w:b/>
        </w:rPr>
      </w:pPr>
      <w:r w:rsidRPr="00CB69CF">
        <w:rPr>
          <w:rFonts w:cs="Arial"/>
          <w:b/>
        </w:rPr>
        <w:t>A</w:t>
      </w:r>
      <w:r w:rsidRPr="00CB69CF">
        <w:rPr>
          <w:rStyle w:val="e-03"/>
          <w:rFonts w:cs="Arial"/>
          <w:b/>
        </w:rPr>
        <w:t>ttention:</w:t>
      </w:r>
      <w:r w:rsidRPr="00CB69CF">
        <w:rPr>
          <w:rFonts w:cs="Arial"/>
          <w:b/>
        </w:rPr>
        <w:t xml:space="preserve"> </w:t>
      </w:r>
      <w:r w:rsidRPr="00CB69CF">
        <w:rPr>
          <w:rFonts w:cs="Arial"/>
          <w:b/>
        </w:rPr>
        <w:tab/>
      </w:r>
      <w:bookmarkStart w:id="0" w:name="OLE_LINK1"/>
      <w:bookmarkStart w:id="1" w:name="OLE_LINK2"/>
      <w:r w:rsidRPr="00CB69CF">
        <w:rPr>
          <w:rFonts w:cs="Arial"/>
          <w:b/>
        </w:rPr>
        <w:t>CMS-2324-P</w:t>
      </w:r>
      <w:bookmarkEnd w:id="0"/>
      <w:bookmarkEnd w:id="1"/>
    </w:p>
    <w:p w14:paraId="0D54CC8F" w14:textId="36F491EF" w:rsidR="00C31030" w:rsidRPr="00CB69CF" w:rsidRDefault="00C31030" w:rsidP="00C31030">
      <w:pPr>
        <w:rPr>
          <w:rFonts w:cs="Arial"/>
        </w:rPr>
      </w:pPr>
      <w:r w:rsidRPr="00CB69CF">
        <w:rPr>
          <w:rFonts w:cs="Arial"/>
          <w:b/>
        </w:rPr>
        <w:t>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w:t>
      </w:r>
      <w:r>
        <w:rPr>
          <w:rFonts w:cs="Arial"/>
          <w:b/>
        </w:rPr>
        <w:t>g</w:t>
      </w:r>
    </w:p>
    <w:p w14:paraId="09383E54" w14:textId="77777777" w:rsidR="00C31030" w:rsidRPr="00CB69CF" w:rsidRDefault="00C31030" w:rsidP="00C31030">
      <w:pPr>
        <w:rPr>
          <w:rFonts w:cs="Arial"/>
        </w:rPr>
      </w:pPr>
      <w:r w:rsidRPr="00CB69CF">
        <w:rPr>
          <w:rFonts w:cs="Arial"/>
        </w:rPr>
        <w:t>Dear Sir/Madam:</w:t>
      </w:r>
    </w:p>
    <w:p w14:paraId="4DBBCEB8" w14:textId="77777777" w:rsidR="00C31030" w:rsidRPr="00CB69CF" w:rsidRDefault="00C31030" w:rsidP="00C31030">
      <w:pPr>
        <w:spacing w:after="0"/>
      </w:pPr>
      <w:r w:rsidRPr="00CB69CF">
        <w:t xml:space="preserve">Thank you for the opportunity to comment on CMS–2334–P,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 (hereinafter referred to as “the proposed rule”).  </w:t>
      </w:r>
    </w:p>
    <w:p w14:paraId="38F63725" w14:textId="77777777" w:rsidR="00C31030" w:rsidRPr="00CB69CF" w:rsidRDefault="00C31030" w:rsidP="00C31030">
      <w:pPr>
        <w:spacing w:after="0"/>
      </w:pPr>
    </w:p>
    <w:p w14:paraId="58AE5929" w14:textId="77777777" w:rsidR="00C31030" w:rsidRPr="00CB69CF" w:rsidRDefault="00C31030" w:rsidP="00C31030">
      <w:pPr>
        <w:spacing w:after="0"/>
      </w:pPr>
      <w:r w:rsidRPr="00CB69CF">
        <w:t>The Center for Children and Families is a center based at Georgetown University’s Health Policy Institute with the mission of improving access to health care coverage among the nation’s children, particularly those in low-income families.  As such, we have a long history of conducting analysis, research and advocacy on issues relating to children’s enrollment in Medicaid, CHIP and other health insurance programs.</w:t>
      </w:r>
    </w:p>
    <w:p w14:paraId="339F681D" w14:textId="77777777" w:rsidR="00C31030" w:rsidRPr="00CB69CF" w:rsidRDefault="00C31030" w:rsidP="00C31030">
      <w:pPr>
        <w:spacing w:after="0"/>
      </w:pPr>
    </w:p>
    <w:p w14:paraId="056A01CC" w14:textId="77777777" w:rsidR="00C31030" w:rsidRPr="00CB69CF" w:rsidRDefault="00C31030" w:rsidP="00C31030">
      <w:pPr>
        <w:spacing w:after="0"/>
        <w:rPr>
          <w:rFonts w:eastAsia="Times New Roman" w:cs="Times New Roman"/>
          <w:bCs/>
          <w:iCs/>
          <w:color w:val="000000"/>
          <w:lang w:eastAsia="en-US"/>
        </w:rPr>
      </w:pPr>
      <w:r w:rsidRPr="00CB69CF">
        <w:rPr>
          <w:rFonts w:eastAsia="Times New Roman" w:cs="Times New Roman"/>
          <w:bCs/>
          <w:iCs/>
          <w:color w:val="000000"/>
          <w:lang w:eastAsia="en-US"/>
        </w:rPr>
        <w:t xml:space="preserve">We are attaching detailed comments on the proposed rule, but also would like to highlight in this cover letter those issues that we believe it is most important to address in the final rule from a children’s health perspective. </w:t>
      </w:r>
    </w:p>
    <w:p w14:paraId="4ED399BE" w14:textId="77777777" w:rsidR="00C31030" w:rsidRPr="00CB69CF" w:rsidRDefault="00C31030" w:rsidP="00C31030">
      <w:pPr>
        <w:spacing w:after="0"/>
        <w:rPr>
          <w:rFonts w:eastAsia="Times New Roman" w:cs="Times New Roman"/>
          <w:color w:val="000000"/>
          <w:lang w:eastAsia="en-US"/>
        </w:rPr>
      </w:pPr>
    </w:p>
    <w:p w14:paraId="26BDF56D" w14:textId="77777777" w:rsidR="00C31030" w:rsidRPr="00CB69CF" w:rsidRDefault="00C31030" w:rsidP="00C31030">
      <w:pPr>
        <w:pStyle w:val="ListParagraph"/>
        <w:numPr>
          <w:ilvl w:val="0"/>
          <w:numId w:val="3"/>
        </w:numPr>
        <w:spacing w:after="0"/>
        <w:rPr>
          <w:rFonts w:eastAsia="Times New Roman" w:cs="Times New Roman"/>
          <w:color w:val="000000"/>
          <w:lang w:eastAsia="en-US"/>
        </w:rPr>
      </w:pPr>
      <w:r w:rsidRPr="00CB69CF">
        <w:rPr>
          <w:rFonts w:eastAsia="Times New Roman" w:cs="Times New Roman"/>
          <w:b/>
          <w:color w:val="000000"/>
          <w:lang w:eastAsia="en-US"/>
        </w:rPr>
        <w:t>Adopt a specific timeframe and set of procedures to ensure states are ready to implement the single, streamlined application by October 1, 2013</w:t>
      </w:r>
      <w:r w:rsidRPr="00CB69CF">
        <w:rPr>
          <w:rFonts w:eastAsia="Times New Roman" w:cs="Times New Roman"/>
          <w:color w:val="000000"/>
          <w:lang w:eastAsia="en-US"/>
        </w:rPr>
        <w:t xml:space="preserve">. </w:t>
      </w:r>
    </w:p>
    <w:p w14:paraId="607D238C" w14:textId="77777777" w:rsidR="00C31030" w:rsidRPr="00CB69CF" w:rsidRDefault="00C31030" w:rsidP="00C31030">
      <w:pPr>
        <w:pStyle w:val="ListParagraph"/>
        <w:spacing w:after="0"/>
        <w:rPr>
          <w:rFonts w:eastAsia="Times New Roman" w:cs="Times New Roman"/>
          <w:b/>
          <w:color w:val="000000"/>
          <w:lang w:eastAsia="en-US"/>
        </w:rPr>
      </w:pPr>
    </w:p>
    <w:p w14:paraId="3BC9A09B" w14:textId="77777777" w:rsidR="00C31030" w:rsidRPr="00CB69CF" w:rsidRDefault="00C31030" w:rsidP="00C31030">
      <w:pPr>
        <w:pStyle w:val="ListParagraph"/>
        <w:spacing w:after="0"/>
        <w:ind w:left="0"/>
        <w:rPr>
          <w:rFonts w:eastAsia="Times New Roman" w:cs="Times New Roman"/>
          <w:color w:val="000000"/>
          <w:lang w:eastAsia="en-US"/>
        </w:rPr>
      </w:pPr>
      <w:r w:rsidRPr="00CB69CF">
        <w:rPr>
          <w:rFonts w:eastAsia="Times New Roman" w:cs="Times New Roman"/>
          <w:color w:val="000000"/>
          <w:lang w:eastAsia="en-US"/>
        </w:rPr>
        <w:t xml:space="preserve">We are deeply concerned that a number of states are at risk of not being ready by October 1, 2013, the first day of the initial open enrollment period, to accept and act upon the single, streamlined application for coverage.   In particular, our concern is </w:t>
      </w:r>
      <w:r w:rsidRPr="00CB69CF">
        <w:rPr>
          <w:rFonts w:eastAsia="Times New Roman" w:cs="Times New Roman"/>
          <w:color w:val="000000"/>
          <w:lang w:eastAsia="en-US"/>
        </w:rPr>
        <w:lastRenderedPageBreak/>
        <w:t>that some states will not be prepared to act upon an FFE</w:t>
      </w:r>
      <w:r>
        <w:rPr>
          <w:rFonts w:eastAsia="Times New Roman" w:cs="Times New Roman"/>
          <w:color w:val="000000"/>
          <w:lang w:eastAsia="en-US"/>
        </w:rPr>
        <w:t xml:space="preserve"> finding that an individual</w:t>
      </w:r>
      <w:r w:rsidRPr="00CB69CF">
        <w:rPr>
          <w:rFonts w:eastAsia="Times New Roman" w:cs="Times New Roman"/>
          <w:color w:val="000000"/>
          <w:lang w:eastAsia="en-US"/>
        </w:rPr>
        <w:t xml:space="preserve"> is eligible for Medicaid or CHIP</w:t>
      </w:r>
      <w:r>
        <w:rPr>
          <w:rFonts w:eastAsia="Times New Roman" w:cs="Times New Roman"/>
          <w:color w:val="000000"/>
          <w:lang w:eastAsia="en-US"/>
        </w:rPr>
        <w:t>, and enroll eligible the individual</w:t>
      </w:r>
      <w:r w:rsidRPr="00CB69CF">
        <w:rPr>
          <w:rFonts w:eastAsia="Times New Roman" w:cs="Times New Roman"/>
          <w:color w:val="000000"/>
          <w:lang w:eastAsia="en-US"/>
        </w:rPr>
        <w:t xml:space="preserve"> in coverage.  If this happens, it will be particularly harmful to children for the simple reason that they are far more likely than their parents to be found eligible for Medicaid or CHIP.  To prevent a messy start to ACA implementation with children and others falling through the cracks, we recommend that HHS include in the final rule a clear timeframe and set of procedures for ensuring states are prepared for the initial open enrollment.  Moreover, if a state cannot demonstrate its preparedness in advance of the initial open enrollment period, the final rule should require it to treat an FFE finding of Medicaid or CHIP eligibility as final until such time as the state develops its own independent capacity to conduct such determinations in full compliance with federal law.</w:t>
      </w:r>
    </w:p>
    <w:p w14:paraId="41231F9E" w14:textId="77777777" w:rsidR="00C31030" w:rsidRPr="00CB69CF" w:rsidRDefault="00C31030" w:rsidP="00C31030">
      <w:pPr>
        <w:pStyle w:val="ListParagraph"/>
        <w:spacing w:after="0"/>
        <w:ind w:left="0"/>
        <w:rPr>
          <w:rFonts w:eastAsia="Times New Roman" w:cs="Times New Roman"/>
          <w:color w:val="000000"/>
          <w:lang w:eastAsia="en-US"/>
        </w:rPr>
      </w:pPr>
    </w:p>
    <w:p w14:paraId="7B80CAE9" w14:textId="77777777" w:rsidR="00C31030" w:rsidRPr="00CB69CF" w:rsidRDefault="00C31030" w:rsidP="00C31030">
      <w:pPr>
        <w:pStyle w:val="ListParagraph"/>
        <w:numPr>
          <w:ilvl w:val="0"/>
          <w:numId w:val="3"/>
        </w:numPr>
        <w:spacing w:after="0"/>
        <w:rPr>
          <w:rFonts w:eastAsia="Times New Roman" w:cs="Times New Roman"/>
          <w:color w:val="000000"/>
          <w:lang w:eastAsia="en-US"/>
        </w:rPr>
      </w:pPr>
      <w:r w:rsidRPr="00CB69CF">
        <w:rPr>
          <w:rFonts w:eastAsia="Times New Roman" w:cs="Times New Roman"/>
          <w:b/>
          <w:bCs/>
          <w:iCs/>
          <w:color w:val="000000"/>
          <w:lang w:eastAsia="en-US"/>
        </w:rPr>
        <w:t xml:space="preserve">Eliminate CHIP waiting periods to </w:t>
      </w:r>
      <w:r w:rsidRPr="00CB69CF">
        <w:rPr>
          <w:rFonts w:eastAsia="Times New Roman" w:cs="Times New Roman"/>
          <w:b/>
          <w:color w:val="000000"/>
          <w:lang w:eastAsia="en-US"/>
        </w:rPr>
        <w:t xml:space="preserve">ensure that children do not go uninsured or experience disruptions in care. </w:t>
      </w:r>
    </w:p>
    <w:p w14:paraId="16F536AC" w14:textId="77777777" w:rsidR="00C31030" w:rsidRPr="00CB69CF" w:rsidRDefault="00C31030" w:rsidP="00C31030">
      <w:pPr>
        <w:pStyle w:val="ListParagraph"/>
        <w:spacing w:after="0"/>
        <w:rPr>
          <w:rFonts w:eastAsia="Times New Roman" w:cs="Times New Roman"/>
          <w:color w:val="000000"/>
          <w:lang w:eastAsia="en-US"/>
        </w:rPr>
      </w:pPr>
    </w:p>
    <w:p w14:paraId="583F18DC" w14:textId="77777777" w:rsidR="00C31030" w:rsidRPr="00CB69CF" w:rsidRDefault="00C31030" w:rsidP="00C31030">
      <w:pPr>
        <w:spacing w:after="0"/>
        <w:rPr>
          <w:rFonts w:eastAsia="Times New Roman" w:cs="Times New Roman"/>
          <w:color w:val="000000"/>
          <w:lang w:eastAsia="en-US"/>
        </w:rPr>
      </w:pPr>
      <w:r w:rsidRPr="00CB69CF">
        <w:rPr>
          <w:rFonts w:eastAsia="Times New Roman" w:cs="Times New Roman"/>
          <w:color w:val="000000"/>
          <w:lang w:eastAsia="en-US"/>
        </w:rPr>
        <w:t xml:space="preserve">We urge you to reconsider the decision in the proposed rule to allow states to continue to impose waiting periods in CHIP.  In a post-ACA universe when </w:t>
      </w:r>
      <w:r>
        <w:rPr>
          <w:rFonts w:eastAsia="Times New Roman" w:cs="Times New Roman"/>
          <w:color w:val="000000"/>
          <w:lang w:eastAsia="en-US"/>
        </w:rPr>
        <w:t xml:space="preserve">nearly </w:t>
      </w:r>
      <w:r w:rsidRPr="00CB69CF">
        <w:rPr>
          <w:rFonts w:eastAsia="Times New Roman" w:cs="Times New Roman"/>
          <w:color w:val="000000"/>
          <w:lang w:eastAsia="en-US"/>
        </w:rPr>
        <w:t>everyone is expected to have health insurance, it makes no sense to require uninsured children to wait up to 90 days to enroll in CHIP.  Such a policy will only delay children’s access to needed care and create confusion and hardship for families.  While the proposed rule allows these uninsured children to temporarily enroll in APTC-funded coverage while awaiting CHIP, we see no evidence that either the federal government or states have the enrollment systems in place to smoothly implement such a plan.  To the contrary, the proposed policy represents an administrative mess of red tape for families that could result in many children falling through the cracks and remaining uninsured.  Even if some children are able to temporarily secure subsidized Exchange coverage while awaiting the end of a CHIP waiting period, it defies common sense to deliberately construct a system of coverage for children that actively promotes disruptions in the continuity of their care.   We strongly urge HHS to eliminate waiting periods in the final rule.</w:t>
      </w:r>
    </w:p>
    <w:p w14:paraId="07A9887E" w14:textId="77777777" w:rsidR="00C31030" w:rsidRPr="00CB69CF" w:rsidRDefault="00C31030" w:rsidP="00C31030">
      <w:pPr>
        <w:spacing w:after="0"/>
        <w:rPr>
          <w:rFonts w:eastAsia="Times New Roman" w:cs="Times New Roman"/>
          <w:color w:val="000000"/>
          <w:lang w:eastAsia="en-US"/>
        </w:rPr>
      </w:pPr>
    </w:p>
    <w:p w14:paraId="0DE5F1B7" w14:textId="77777777" w:rsidR="00C31030" w:rsidRPr="00CB69CF" w:rsidRDefault="00C31030" w:rsidP="00C31030">
      <w:pPr>
        <w:pStyle w:val="ListParagraph"/>
        <w:numPr>
          <w:ilvl w:val="0"/>
          <w:numId w:val="3"/>
        </w:numPr>
        <w:spacing w:after="0"/>
        <w:rPr>
          <w:rFonts w:eastAsia="Times New Roman" w:cs="Times New Roman"/>
          <w:color w:val="000000"/>
          <w:lang w:eastAsia="en-US"/>
        </w:rPr>
      </w:pPr>
      <w:r w:rsidRPr="00CB69CF">
        <w:rPr>
          <w:rFonts w:eastAsia="Times New Roman" w:cs="Times New Roman"/>
          <w:b/>
          <w:bCs/>
          <w:iCs/>
          <w:color w:val="000000"/>
          <w:lang w:eastAsia="en-US"/>
        </w:rPr>
        <w:t xml:space="preserve">Retain and strengthen the role of certified application counselors in helping families secure coverage. </w:t>
      </w:r>
      <w:r w:rsidRPr="00CB69CF">
        <w:rPr>
          <w:rFonts w:eastAsia="Times New Roman" w:cs="Times New Roman"/>
          <w:color w:val="000000"/>
          <w:lang w:eastAsia="en-US"/>
        </w:rPr>
        <w:t xml:space="preserve"> </w:t>
      </w:r>
    </w:p>
    <w:p w14:paraId="4976A5D6" w14:textId="77777777" w:rsidR="00C31030" w:rsidRPr="00CB69CF" w:rsidRDefault="00C31030" w:rsidP="00C31030">
      <w:pPr>
        <w:spacing w:after="0"/>
        <w:rPr>
          <w:rFonts w:eastAsia="Times New Roman" w:cs="Times New Roman"/>
          <w:color w:val="000000"/>
          <w:lang w:eastAsia="en-US"/>
        </w:rPr>
      </w:pPr>
    </w:p>
    <w:p w14:paraId="67C4F0F6" w14:textId="77777777" w:rsidR="00C31030" w:rsidRPr="00CB69CF" w:rsidRDefault="00C31030" w:rsidP="00C31030">
      <w:pPr>
        <w:spacing w:after="0"/>
        <w:rPr>
          <w:rFonts w:eastAsia="Times New Roman" w:cs="Times New Roman"/>
          <w:color w:val="000000"/>
          <w:lang w:eastAsia="en-US"/>
        </w:rPr>
      </w:pPr>
      <w:r w:rsidRPr="00CB69CF">
        <w:rPr>
          <w:rFonts w:eastAsia="Times New Roman" w:cs="Times New Roman"/>
          <w:color w:val="000000"/>
          <w:lang w:eastAsia="en-US"/>
        </w:rPr>
        <w:t>We strongly support the creation of a certified application counselor program (CAC) for Medicaid and CHIP with a parallel or coordinated program in the Exchange.  Based on our years of work on the best strategies for enrolling children in Medicaid and CHIP, we believe that community-based application assisters, including community health centers and health care providers, have an essential role to play in connecting people to coverage under the ACA.  In many instances, they will be the most trusted source of help and assistance among low and moderate-income families who are the primary targets of the ACA’s coverage initiatives.  Moreover, the reality is that such organizations are likely to be deeply involved with helping people secure coverage, with or without certification.   By retaining and strengthening the CAC program, the final rule can ensure that these organizations and individuals have the training and skills that they need to operate effectively, and that they are subject to appropriate oversight.</w:t>
      </w:r>
    </w:p>
    <w:p w14:paraId="095CEEA1" w14:textId="77777777" w:rsidR="00C31030" w:rsidRPr="00CB69CF" w:rsidRDefault="00C31030" w:rsidP="00C31030">
      <w:pPr>
        <w:spacing w:after="0"/>
        <w:rPr>
          <w:rFonts w:eastAsia="Times New Roman" w:cs="Times New Roman"/>
          <w:color w:val="000000"/>
          <w:lang w:eastAsia="en-US"/>
        </w:rPr>
      </w:pPr>
    </w:p>
    <w:p w14:paraId="4D3B411F" w14:textId="77777777" w:rsidR="00C31030" w:rsidRPr="00CB69CF" w:rsidRDefault="00C31030" w:rsidP="00C31030">
      <w:pPr>
        <w:pStyle w:val="ListParagraph"/>
        <w:numPr>
          <w:ilvl w:val="0"/>
          <w:numId w:val="3"/>
        </w:numPr>
      </w:pPr>
      <w:r>
        <w:rPr>
          <w:b/>
        </w:rPr>
        <w:t>Ensure that the infant</w:t>
      </w:r>
      <w:r w:rsidRPr="00CB69CF">
        <w:rPr>
          <w:b/>
        </w:rPr>
        <w:t xml:space="preserve">s of all women enrolled in Medicaid or CHIP are automatically signed up for coverage for the first year of life.  </w:t>
      </w:r>
    </w:p>
    <w:p w14:paraId="753E29A9" w14:textId="77777777" w:rsidR="00C31030" w:rsidRPr="00CB69CF" w:rsidRDefault="00C31030" w:rsidP="00C31030">
      <w:r w:rsidRPr="00CB69CF">
        <w:t>We support much of the language in the proposed rule outlini</w:t>
      </w:r>
      <w:r>
        <w:t>ng the procedures by which infant</w:t>
      </w:r>
      <w:r w:rsidRPr="00CB69CF">
        <w:t xml:space="preserve">s born to pregnant women on Medicaid or CHIP should be deemed automatically eligible for 12-months of coverage (Medicaid or CHIP, as appropriate).  However, the final rule could and should be strengthened in some key respects.  Specifically, we recommend that it require that </w:t>
      </w:r>
      <w:r w:rsidRPr="00CB69CF">
        <w:rPr>
          <w:i/>
        </w:rPr>
        <w:t>all</w:t>
      </w:r>
      <w:r>
        <w:t xml:space="preserve"> infant</w:t>
      </w:r>
      <w:r w:rsidRPr="00CB69CF">
        <w:t xml:space="preserve">s born to women covered by Medicaid or CHIP be treated as deemed </w:t>
      </w:r>
      <w:r>
        <w:t>newborns, including those</w:t>
      </w:r>
      <w:r w:rsidRPr="00CB69CF">
        <w:t xml:space="preserve"> born to women enrolled in Medicaid under a §1115 waiver and to young women enrolled in CHIP as targeted low-income children.  Congress now has passed laws on the deemed newborn issue on more than one occasion, and it seems cle</w:t>
      </w:r>
      <w:r>
        <w:t>ar that it intends for all infant</w:t>
      </w:r>
      <w:r w:rsidRPr="00CB69CF">
        <w:t>s born to women enrolled in Medicaid or CHIP to be guaranteed health care coverage during their first year of life, including those who move to another state at some point during the baby’s first year of life.  We strongly recommend that the final rule should adopt the proposed changes to eliminate any lingering gaps in coverage for newborns, as well as add specific language clarifying the long-standing requirement that states con</w:t>
      </w:r>
      <w:r>
        <w:t>duct a redetermination of an infant</w:t>
      </w:r>
      <w:r w:rsidRPr="00CB69CF">
        <w:t xml:space="preserve">’s eligibility for coverage prior to his or her first birthday. </w:t>
      </w:r>
    </w:p>
    <w:p w14:paraId="6CD12BB5" w14:textId="77777777" w:rsidR="00C31030" w:rsidRPr="00140452" w:rsidRDefault="00C31030" w:rsidP="00C31030">
      <w:pPr>
        <w:pStyle w:val="ListParagraph"/>
        <w:numPr>
          <w:ilvl w:val="0"/>
          <w:numId w:val="3"/>
        </w:numPr>
        <w:shd w:val="clear" w:color="auto" w:fill="FFFFFF"/>
        <w:spacing w:after="0"/>
        <w:rPr>
          <w:rFonts w:eastAsia="Times New Roman" w:cs="Arial"/>
          <w:color w:val="222222"/>
          <w:lang w:eastAsia="en-US"/>
        </w:rPr>
      </w:pPr>
      <w:r w:rsidRPr="00140452">
        <w:rPr>
          <w:rFonts w:eastAsia="Times New Roman" w:cs="Arial"/>
          <w:b/>
          <w:bCs/>
          <w:color w:val="222222"/>
          <w:lang w:eastAsia="en-US"/>
        </w:rPr>
        <w:t>Provide former foster care children with a secure source of coverage up to age 26 even if they move to a new state.</w:t>
      </w:r>
    </w:p>
    <w:p w14:paraId="2F86AD93" w14:textId="77777777" w:rsidR="00C31030" w:rsidRPr="00CB69CF" w:rsidRDefault="00C31030" w:rsidP="00C31030">
      <w:pPr>
        <w:shd w:val="clear" w:color="auto" w:fill="FFFFFF"/>
        <w:spacing w:after="0"/>
        <w:rPr>
          <w:rFonts w:eastAsia="Times New Roman" w:cs="Arial"/>
          <w:color w:val="222222"/>
          <w:lang w:eastAsia="en-US"/>
        </w:rPr>
      </w:pPr>
    </w:p>
    <w:p w14:paraId="5CBDACC1" w14:textId="77777777" w:rsidR="00C31030" w:rsidRPr="00CB69CF" w:rsidRDefault="00C31030" w:rsidP="00C31030">
      <w:pPr>
        <w:shd w:val="clear" w:color="auto" w:fill="FFFFFF"/>
        <w:spacing w:after="0"/>
        <w:rPr>
          <w:rFonts w:cs="Arial"/>
          <w:color w:val="222222"/>
          <w:lang w:eastAsia="en-US"/>
        </w:rPr>
      </w:pPr>
      <w:r w:rsidRPr="00CB69CF">
        <w:rPr>
          <w:rFonts w:eastAsia="Times New Roman" w:cs="Arial"/>
          <w:color w:val="222222"/>
          <w:lang w:eastAsia="en-US"/>
        </w:rPr>
        <w:t xml:space="preserve">We are very concerned with </w:t>
      </w:r>
      <w:r>
        <w:rPr>
          <w:rFonts w:eastAsia="Times New Roman" w:cs="Arial"/>
          <w:color w:val="222222"/>
          <w:lang w:eastAsia="en-US"/>
        </w:rPr>
        <w:t xml:space="preserve">the </w:t>
      </w:r>
      <w:r w:rsidRPr="00CB69CF">
        <w:rPr>
          <w:rFonts w:eastAsia="Times New Roman" w:cs="Arial"/>
          <w:color w:val="222222"/>
          <w:lang w:eastAsia="en-US"/>
        </w:rPr>
        <w:t>proposed rule’s interpretation of eligibility for the Medicaid coverage made available by the ACA to former foster care youth up to age 26.  The proposed rule unnecessarily limits the availability of this</w:t>
      </w:r>
      <w:r>
        <w:rPr>
          <w:rFonts w:eastAsia="Times New Roman" w:cs="Arial"/>
          <w:color w:val="222222"/>
          <w:lang w:eastAsia="en-US"/>
        </w:rPr>
        <w:t xml:space="preserve"> coverage to youths aging out to</w:t>
      </w:r>
      <w:r w:rsidRPr="00CB69CF">
        <w:rPr>
          <w:rFonts w:eastAsia="Times New Roman" w:cs="Arial"/>
          <w:color w:val="222222"/>
          <w:lang w:eastAsia="en-US"/>
        </w:rPr>
        <w:t xml:space="preserve"> the st</w:t>
      </w:r>
      <w:r>
        <w:rPr>
          <w:rFonts w:eastAsia="Times New Roman" w:cs="Arial"/>
          <w:color w:val="222222"/>
          <w:lang w:eastAsia="en-US"/>
        </w:rPr>
        <w:t xml:space="preserve">ate where they were in foster </w:t>
      </w:r>
      <w:r w:rsidRPr="00CB69CF">
        <w:rPr>
          <w:rFonts w:eastAsia="Times New Roman" w:cs="Arial"/>
          <w:color w:val="222222"/>
          <w:lang w:eastAsia="en-US"/>
        </w:rPr>
        <w:t>care. We believe Congress intended that Medicaid coverage be available to former foster care youth regardless of where they are living until age 26.  Indeed, Senator Mary Landrieu, the chief sponsor of the provision</w:t>
      </w:r>
      <w:r>
        <w:rPr>
          <w:rFonts w:eastAsia="Times New Roman" w:cs="Arial"/>
          <w:color w:val="222222"/>
          <w:lang w:eastAsia="en-US"/>
        </w:rPr>
        <w:t>,</w:t>
      </w:r>
      <w:r w:rsidRPr="00CB69CF">
        <w:rPr>
          <w:rFonts w:eastAsia="Times New Roman" w:cs="Arial"/>
          <w:color w:val="222222"/>
          <w:lang w:eastAsia="en-US"/>
        </w:rPr>
        <w:t xml:space="preserve"> stated on the floor of the Senate on December 22, 2009:  “</w:t>
      </w:r>
      <w:r w:rsidRPr="00CB69CF">
        <w:rPr>
          <w:rFonts w:cs="Arial"/>
          <w:color w:val="222222"/>
          <w:lang w:val="en" w:eastAsia="en-US"/>
        </w:rPr>
        <w:t>I was proud to work on a provision that Leader Reid included in this bill to </w:t>
      </w:r>
      <w:r w:rsidRPr="00CB69CF">
        <w:rPr>
          <w:rFonts w:cs="Arial"/>
          <w:i/>
          <w:iCs/>
          <w:color w:val="222222"/>
          <w:lang w:val="en" w:eastAsia="en-US"/>
        </w:rPr>
        <w:t>ensure that every young person who ages out of the foster care system will be able to stay on Medicaid until the age of 26 starting in 2014</w:t>
      </w:r>
      <w:r w:rsidRPr="00CB69CF">
        <w:rPr>
          <w:rFonts w:cs="Arial"/>
          <w:color w:val="222222"/>
          <w:lang w:val="en" w:eastAsia="en-US"/>
        </w:rPr>
        <w:t> (italics added).”  Not only was such a reading intended by Congress, but we believe that</w:t>
      </w:r>
      <w:r w:rsidRPr="00CB69CF">
        <w:rPr>
          <w:rFonts w:cs="Arial"/>
          <w:color w:val="222222"/>
          <w:lang w:eastAsia="en-US"/>
        </w:rPr>
        <w:t xml:space="preserve"> the statutory language of the ACA allows HHS to interpret the foster care pr</w:t>
      </w:r>
      <w:r>
        <w:rPr>
          <w:rFonts w:cs="Arial"/>
          <w:color w:val="222222"/>
          <w:lang w:eastAsia="en-US"/>
        </w:rPr>
        <w:t>ovision to apply to all youths</w:t>
      </w:r>
      <w:r w:rsidRPr="00CB69CF">
        <w:rPr>
          <w:rFonts w:cs="Arial"/>
          <w:color w:val="222222"/>
          <w:lang w:eastAsia="en-US"/>
        </w:rPr>
        <w:t xml:space="preserve"> aging out of care, regardless of whether they continue to reside in the same state in which they were in care.</w:t>
      </w:r>
    </w:p>
    <w:p w14:paraId="73994579" w14:textId="77777777" w:rsidR="00C31030" w:rsidRPr="00CB69CF" w:rsidRDefault="00C31030" w:rsidP="00C31030">
      <w:pPr>
        <w:shd w:val="clear" w:color="auto" w:fill="FFFFFF"/>
        <w:spacing w:after="0"/>
      </w:pPr>
      <w:r w:rsidRPr="00CB69CF">
        <w:rPr>
          <w:rFonts w:cs="Arial"/>
          <w:color w:val="222222"/>
          <w:lang w:eastAsia="en-US"/>
        </w:rPr>
        <w:t xml:space="preserve"> </w:t>
      </w:r>
    </w:p>
    <w:p w14:paraId="5A0B193C" w14:textId="77777777" w:rsidR="00C31030" w:rsidRPr="00140452" w:rsidRDefault="00C31030" w:rsidP="00C31030">
      <w:pPr>
        <w:pStyle w:val="ListParagraph"/>
        <w:numPr>
          <w:ilvl w:val="0"/>
          <w:numId w:val="3"/>
        </w:numPr>
        <w:spacing w:after="0"/>
        <w:rPr>
          <w:rFonts w:eastAsia="Times New Roman" w:cs="Times New Roman"/>
          <w:color w:val="000000"/>
          <w:lang w:eastAsia="en-US"/>
        </w:rPr>
      </w:pPr>
      <w:r w:rsidRPr="00140452">
        <w:rPr>
          <w:rFonts w:eastAsia="Times New Roman" w:cs="Times New Roman"/>
          <w:b/>
          <w:bCs/>
          <w:iCs/>
          <w:color w:val="000000"/>
          <w:lang w:eastAsia="en-US"/>
        </w:rPr>
        <w:t xml:space="preserve">Retain and strengthen the proposed simplifications to paper-based documentation of citizenship </w:t>
      </w:r>
    </w:p>
    <w:p w14:paraId="76D3EA63" w14:textId="77777777" w:rsidR="00C31030" w:rsidRPr="00CB69CF" w:rsidRDefault="00C31030" w:rsidP="00C31030">
      <w:pPr>
        <w:spacing w:after="0"/>
        <w:rPr>
          <w:rFonts w:eastAsia="Times New Roman" w:cs="Times New Roman"/>
          <w:color w:val="000000"/>
          <w:lang w:eastAsia="en-US"/>
        </w:rPr>
      </w:pPr>
    </w:p>
    <w:p w14:paraId="3AD3BEC4" w14:textId="77777777" w:rsidR="00C31030" w:rsidRPr="00CB69CF" w:rsidRDefault="00C31030" w:rsidP="00C31030">
      <w:pPr>
        <w:spacing w:after="0"/>
        <w:rPr>
          <w:rFonts w:eastAsia="Times New Roman" w:cs="Times New Roman"/>
          <w:color w:val="000000"/>
          <w:lang w:eastAsia="en-US"/>
        </w:rPr>
      </w:pPr>
      <w:r w:rsidRPr="00CB69CF">
        <w:rPr>
          <w:rFonts w:eastAsia="Times New Roman" w:cs="Times New Roman"/>
          <w:color w:val="000000"/>
          <w:lang w:eastAsia="en-US"/>
        </w:rPr>
        <w:t xml:space="preserve">We commend HHS for streamlining the complicated, paper-based requirements of citizenship verification put into place in 2006. These regulations have proven burdensome and costly over the years, and resulted in the denial and delay of coverage for numerous citizen children, pregnant women and parents. Even with the growing use of electronic verification of citizenship, there will be times when paper documentation is needed in the years ahead and so we believe the proposed streamlining of the process and the simplification of acceptable documents represent a </w:t>
      </w:r>
      <w:r>
        <w:rPr>
          <w:rFonts w:eastAsia="Times New Roman" w:cs="Times New Roman"/>
          <w:color w:val="000000"/>
          <w:lang w:eastAsia="en-US"/>
        </w:rPr>
        <w:t>significant improvement. We particularly support</w:t>
      </w:r>
      <w:r w:rsidRPr="00CB69CF">
        <w:rPr>
          <w:rFonts w:eastAsia="Times New Roman" w:cs="Times New Roman"/>
          <w:color w:val="000000"/>
          <w:lang w:eastAsia="en-US"/>
        </w:rPr>
        <w:t xml:space="preserve"> the proposal to accept copies of documents or affidavits; the clarification that citizenship verification is never required for newborns whose delivery was covered by Medicaid or CHIP; and the policy that once citizensh</w:t>
      </w:r>
      <w:r>
        <w:rPr>
          <w:rFonts w:eastAsia="Times New Roman" w:cs="Times New Roman"/>
          <w:color w:val="000000"/>
          <w:lang w:eastAsia="en-US"/>
        </w:rPr>
        <w:t>ip has been verified for an individual</w:t>
      </w:r>
      <w:r w:rsidRPr="00CB69CF">
        <w:rPr>
          <w:rFonts w:eastAsia="Times New Roman" w:cs="Times New Roman"/>
          <w:color w:val="000000"/>
          <w:lang w:eastAsia="en-US"/>
        </w:rPr>
        <w:t>, it need not be re-verified at renewal or after a break in coverage.</w:t>
      </w:r>
    </w:p>
    <w:p w14:paraId="684A4722" w14:textId="77777777" w:rsidR="00C31030" w:rsidRPr="00CB69CF" w:rsidRDefault="00C31030" w:rsidP="00C31030">
      <w:pPr>
        <w:spacing w:after="0"/>
        <w:rPr>
          <w:rFonts w:eastAsia="Times New Roman" w:cs="Times New Roman"/>
          <w:color w:val="000000"/>
          <w:lang w:eastAsia="en-US"/>
        </w:rPr>
      </w:pPr>
    </w:p>
    <w:p w14:paraId="0497CCB4" w14:textId="77777777" w:rsidR="00C31030" w:rsidRPr="00140452" w:rsidRDefault="00C31030" w:rsidP="00C31030">
      <w:pPr>
        <w:pStyle w:val="ListParagraph"/>
        <w:numPr>
          <w:ilvl w:val="0"/>
          <w:numId w:val="3"/>
        </w:numPr>
        <w:rPr>
          <w:rFonts w:cs="Arial"/>
          <w:b/>
          <w:color w:val="1A1A1A"/>
        </w:rPr>
      </w:pPr>
      <w:r w:rsidRPr="00140452">
        <w:rPr>
          <w:rFonts w:cs="Arial"/>
          <w:b/>
          <w:color w:val="1A1A1A"/>
        </w:rPr>
        <w:t xml:space="preserve">Adopt a more inclusive definition of “lawfully present.” </w:t>
      </w:r>
    </w:p>
    <w:p w14:paraId="4E94D7B4" w14:textId="77777777" w:rsidR="00C31030" w:rsidRPr="00CB69CF" w:rsidRDefault="00C31030" w:rsidP="00C31030">
      <w:pPr>
        <w:rPr>
          <w:rFonts w:cs="Arial"/>
          <w:color w:val="1A1A1A"/>
        </w:rPr>
      </w:pPr>
      <w:r w:rsidRPr="00CB69CF">
        <w:rPr>
          <w:rFonts w:cs="Arial"/>
          <w:color w:val="1A1A1A"/>
        </w:rPr>
        <w:t>The definition of the term “lawfully present” can be a life-or-death matter, determining which immigrants will be eligible for coverage through the Exchanges, which children and pregnant women will be eligible for federal Medicaid and CHIP in about half the states, and which immigrants will be left with no option for affordable health coverage. We support the most inclusive definition possible, that all who are lawfully present for immigration purposes should be considered lawfully present for purposes of health care and coverage.  In light of the high stakes associated with having health insurance, we do not believe that HHS should give undue weight to administrative considerations, such as ease of electronic verification through the DHS SAVE system, when finalizing its decisions about who is included in the definition of lawfully present. An inclusive definition, of all those who are lawfully present, best fulfills the ACA’s goals of expanding acces</w:t>
      </w:r>
      <w:r>
        <w:rPr>
          <w:rFonts w:cs="Arial"/>
          <w:color w:val="1A1A1A"/>
        </w:rPr>
        <w:t>s to affordable health coverage</w:t>
      </w:r>
      <w:r w:rsidRPr="00CB69CF">
        <w:rPr>
          <w:rFonts w:cs="Arial"/>
          <w:color w:val="1A1A1A"/>
        </w:rPr>
        <w:t xml:space="preserve"> and </w:t>
      </w:r>
      <w:r w:rsidRPr="00140452">
        <w:rPr>
          <w:rFonts w:cs="Arial"/>
          <w:bCs/>
          <w:color w:val="1A1A1A"/>
        </w:rPr>
        <w:t>more effectively</w:t>
      </w:r>
      <w:r w:rsidRPr="00140452">
        <w:rPr>
          <w:rFonts w:cs="Arial"/>
          <w:color w:val="1A1A1A"/>
        </w:rPr>
        <w:t xml:space="preserve"> spreading risk across a large</w:t>
      </w:r>
      <w:r w:rsidRPr="00140452">
        <w:rPr>
          <w:rFonts w:cs="Arial"/>
          <w:bCs/>
          <w:color w:val="1A1A1A"/>
        </w:rPr>
        <w:t>r</w:t>
      </w:r>
      <w:r w:rsidRPr="00140452">
        <w:rPr>
          <w:rFonts w:cs="Arial"/>
          <w:color w:val="1A1A1A"/>
        </w:rPr>
        <w:t xml:space="preserve"> pool of covered individuals.</w:t>
      </w:r>
    </w:p>
    <w:p w14:paraId="3F23E4B7" w14:textId="77777777" w:rsidR="00C31030" w:rsidRPr="00140452" w:rsidRDefault="00C31030" w:rsidP="00C31030">
      <w:pPr>
        <w:pStyle w:val="ListParagraph"/>
        <w:numPr>
          <w:ilvl w:val="0"/>
          <w:numId w:val="3"/>
        </w:numPr>
        <w:rPr>
          <w:b/>
          <w:i/>
        </w:rPr>
      </w:pPr>
      <w:r w:rsidRPr="00140452">
        <w:rPr>
          <w:rFonts w:cs="Arial"/>
          <w:b/>
          <w:color w:val="1A1A1A"/>
        </w:rPr>
        <w:t>Clarify the cost-effectiveness test for premium assistance</w:t>
      </w:r>
      <w:r w:rsidRPr="00140452">
        <w:rPr>
          <w:b/>
          <w:i/>
        </w:rPr>
        <w:t xml:space="preserve">. </w:t>
      </w:r>
    </w:p>
    <w:p w14:paraId="2002A016" w14:textId="1956A41B" w:rsidR="00C31030" w:rsidRDefault="00C31030" w:rsidP="00C31030">
      <w:r w:rsidRPr="00CB69CF">
        <w:t>As states consider new options with respect to the intersection of public and exchange based coverage, it is essential that a strong cost-effectiveness test be applied to ensure that taxpayer dollars are spent wisely and that beneficiaries do not lose important benefits and cost-sharing protections should a state pursue this route.  To that end, we recommend that</w:t>
      </w:r>
      <w:r w:rsidRPr="00CB69CF">
        <w:rPr>
          <w:i/>
        </w:rPr>
        <w:t xml:space="preserve"> </w:t>
      </w:r>
      <w:r w:rsidRPr="00CB69CF">
        <w:t>the final rule clarify that the cost of a cost-sharing wraparound is included in the cost effectiveness test. As currently drafted, the proposed rule could be interpreted to include only the cost of premiums to purchase coverage, and not include in the test the</w:t>
      </w:r>
      <w:r>
        <w:t xml:space="preserve"> costs associated with paying for</w:t>
      </w:r>
      <w:r w:rsidRPr="00CB69CF">
        <w:t xml:space="preserve"> copayments, deductibles and other cost-sharing requirements. We believe this should be clarified to include cost-sharing explicitly. Such a clarification would reflect the statutory definition of cost-effectiveness codified in CHIPRA that relies on the concept of </w:t>
      </w:r>
      <w:r w:rsidRPr="00CB69CF">
        <w:rPr>
          <w:i/>
        </w:rPr>
        <w:t>comparable coverage.</w:t>
      </w:r>
      <w:r w:rsidRPr="00CB69CF">
        <w:t xml:space="preserve"> It is our view that “comparable coverage” cl</w:t>
      </w:r>
      <w:r>
        <w:t>early incorporates the inclusion</w:t>
      </w:r>
      <w:r w:rsidRPr="00CB69CF">
        <w:t xml:space="preserve"> of cost-sharing limits into the cost-effectiveness test, and we are concerned that the </w:t>
      </w:r>
      <w:r>
        <w:t xml:space="preserve">proposed </w:t>
      </w:r>
      <w:r w:rsidRPr="00CB69CF">
        <w:t xml:space="preserve">regulatory language does not clearly do so. </w:t>
      </w:r>
      <w:bookmarkStart w:id="2" w:name="_GoBack"/>
      <w:bookmarkEnd w:id="2"/>
    </w:p>
    <w:p w14:paraId="3C1D1E73" w14:textId="77777777" w:rsidR="001F0342" w:rsidRDefault="001F0342" w:rsidP="001F0342"/>
    <w:sectPr w:rsidR="001F0342" w:rsidSect="008F2075">
      <w:footerReference w:type="even" r:id="rId9"/>
      <w:footerReference w:type="defaul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C75D7" w14:textId="77777777" w:rsidR="00B6590E" w:rsidRDefault="00B6590E" w:rsidP="001F0342">
      <w:pPr>
        <w:spacing w:after="0"/>
      </w:pPr>
      <w:r>
        <w:separator/>
      </w:r>
    </w:p>
  </w:endnote>
  <w:endnote w:type="continuationSeparator" w:id="0">
    <w:p w14:paraId="04D1BF25" w14:textId="77777777" w:rsidR="00B6590E" w:rsidRDefault="00B6590E" w:rsidP="001F03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otham-Book">
    <w:altName w:val="Cambria"/>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BB8DA" w14:textId="77777777" w:rsidR="00A262DF" w:rsidRDefault="00A262DF" w:rsidP="008F2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F5E3B" w14:textId="77777777" w:rsidR="00A262DF" w:rsidRDefault="00A262DF" w:rsidP="001F03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ACD7" w14:textId="77777777" w:rsidR="008F2075" w:rsidRDefault="008F2075" w:rsidP="006055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030">
      <w:rPr>
        <w:rStyle w:val="PageNumber"/>
        <w:noProof/>
      </w:rPr>
      <w:t>2</w:t>
    </w:r>
    <w:r>
      <w:rPr>
        <w:rStyle w:val="PageNumber"/>
      </w:rPr>
      <w:fldChar w:fldCharType="end"/>
    </w:r>
  </w:p>
  <w:p w14:paraId="39991806" w14:textId="77777777" w:rsidR="00A262DF" w:rsidRDefault="00A262DF" w:rsidP="001F034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A4C6" w14:textId="77777777" w:rsidR="008F2075" w:rsidRPr="00941992" w:rsidRDefault="008F2075" w:rsidP="008F2075">
    <w:pPr>
      <w:spacing w:before="120" w:after="0" w:line="300" w:lineRule="exact"/>
      <w:ind w:left="720" w:hanging="720"/>
      <w:jc w:val="center"/>
      <w:rPr>
        <w:rFonts w:ascii="Gotham-Book" w:hAnsi="Gotham-Book"/>
        <w:color w:val="AB8612"/>
        <w:spacing w:val="10"/>
        <w:sz w:val="18"/>
        <w:szCs w:val="18"/>
      </w:rPr>
    </w:pPr>
    <w:r w:rsidRPr="00941992">
      <w:rPr>
        <w:rFonts w:ascii="Gotham-Book" w:hAnsi="Gotham-Book"/>
        <w:color w:val="AB8612"/>
        <w:spacing w:val="10"/>
        <w:sz w:val="18"/>
        <w:szCs w:val="18"/>
      </w:rPr>
      <w:t xml:space="preserve">Box </w:t>
    </w:r>
    <w:proofErr w:type="gramStart"/>
    <w:r w:rsidRPr="00941992">
      <w:rPr>
        <w:rFonts w:ascii="Gotham-Book" w:hAnsi="Gotham-Book"/>
        <w:color w:val="AB8612"/>
        <w:spacing w:val="10"/>
        <w:sz w:val="18"/>
        <w:szCs w:val="18"/>
      </w:rPr>
      <w:t>57144  3300</w:t>
    </w:r>
    <w:proofErr w:type="gramEnd"/>
    <w:r w:rsidRPr="00941992">
      <w:rPr>
        <w:rFonts w:ascii="Gotham-Book" w:hAnsi="Gotham-Book"/>
        <w:color w:val="AB8612"/>
        <w:spacing w:val="10"/>
        <w:sz w:val="18"/>
        <w:szCs w:val="18"/>
      </w:rPr>
      <w:t xml:space="preserve"> Whitehaven Street, N.W.  Suite </w:t>
    </w:r>
    <w:proofErr w:type="gramStart"/>
    <w:r w:rsidRPr="00941992">
      <w:rPr>
        <w:rFonts w:ascii="Gotham-Book" w:hAnsi="Gotham-Book"/>
        <w:color w:val="AB8612"/>
        <w:spacing w:val="10"/>
        <w:sz w:val="18"/>
        <w:szCs w:val="18"/>
      </w:rPr>
      <w:t>5000  Washington</w:t>
    </w:r>
    <w:proofErr w:type="gramEnd"/>
    <w:r w:rsidRPr="00941992">
      <w:rPr>
        <w:rFonts w:ascii="Gotham-Book" w:hAnsi="Gotham-Book"/>
        <w:color w:val="AB8612"/>
        <w:spacing w:val="10"/>
        <w:sz w:val="18"/>
        <w:szCs w:val="18"/>
      </w:rPr>
      <w:t>, DC  20057</w:t>
    </w:r>
  </w:p>
  <w:p w14:paraId="78A2F234" w14:textId="77777777" w:rsidR="008F2075" w:rsidRPr="00941992" w:rsidRDefault="008F2075" w:rsidP="008F2075">
    <w:pPr>
      <w:spacing w:line="300" w:lineRule="exact"/>
      <w:ind w:left="720" w:hanging="720"/>
      <w:jc w:val="center"/>
      <w:rPr>
        <w:rFonts w:ascii="Gotham-Book" w:hAnsi="Gotham-Book"/>
        <w:color w:val="AB8612"/>
        <w:spacing w:val="10"/>
        <w:sz w:val="18"/>
        <w:szCs w:val="18"/>
      </w:rPr>
    </w:pPr>
    <w:r w:rsidRPr="00941992">
      <w:rPr>
        <w:rFonts w:ascii="Gotham-Book" w:hAnsi="Gotham-Book"/>
        <w:color w:val="AB8612"/>
        <w:spacing w:val="10"/>
        <w:sz w:val="18"/>
        <w:szCs w:val="18"/>
      </w:rPr>
      <w:t xml:space="preserve">T </w:t>
    </w:r>
    <w:proofErr w:type="gramStart"/>
    <w:r w:rsidRPr="00941992">
      <w:rPr>
        <w:rFonts w:ascii="Gotham-Book" w:hAnsi="Gotham-Book"/>
        <w:color w:val="AB8612"/>
        <w:spacing w:val="10"/>
        <w:sz w:val="18"/>
        <w:szCs w:val="18"/>
      </w:rPr>
      <w:t>202.687.0880  F</w:t>
    </w:r>
    <w:proofErr w:type="gramEnd"/>
    <w:r w:rsidRPr="00941992">
      <w:rPr>
        <w:rFonts w:ascii="Gotham-Book" w:hAnsi="Gotham-Book"/>
        <w:color w:val="AB8612"/>
        <w:spacing w:val="10"/>
        <w:sz w:val="18"/>
        <w:szCs w:val="18"/>
      </w:rPr>
      <w:t xml:space="preserve"> 202.687.3110  E Childhealth@georgetown.edu</w:t>
    </w:r>
  </w:p>
  <w:p w14:paraId="384FA684" w14:textId="77777777" w:rsidR="008F2075" w:rsidRDefault="008F20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93B10" w14:textId="77777777" w:rsidR="00B6590E" w:rsidRDefault="00B6590E" w:rsidP="001F0342">
      <w:pPr>
        <w:spacing w:after="0"/>
      </w:pPr>
      <w:r>
        <w:separator/>
      </w:r>
    </w:p>
  </w:footnote>
  <w:footnote w:type="continuationSeparator" w:id="0">
    <w:p w14:paraId="078AA380" w14:textId="77777777" w:rsidR="00B6590E" w:rsidRDefault="00B6590E" w:rsidP="001F034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5B7E"/>
    <w:multiLevelType w:val="hybridMultilevel"/>
    <w:tmpl w:val="905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526D70"/>
    <w:multiLevelType w:val="hybridMultilevel"/>
    <w:tmpl w:val="5018F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16754"/>
    <w:multiLevelType w:val="hybridMultilevel"/>
    <w:tmpl w:val="DEF87520"/>
    <w:lvl w:ilvl="0" w:tplc="B7BEAB3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C5"/>
    <w:rsid w:val="0008116F"/>
    <w:rsid w:val="000C4382"/>
    <w:rsid w:val="001507C2"/>
    <w:rsid w:val="001735C8"/>
    <w:rsid w:val="00197FB1"/>
    <w:rsid w:val="001C1580"/>
    <w:rsid w:val="001F0342"/>
    <w:rsid w:val="002651DB"/>
    <w:rsid w:val="0026526F"/>
    <w:rsid w:val="0035663D"/>
    <w:rsid w:val="003B08A5"/>
    <w:rsid w:val="00401BB7"/>
    <w:rsid w:val="0077238E"/>
    <w:rsid w:val="00783C07"/>
    <w:rsid w:val="00807F9E"/>
    <w:rsid w:val="00822D08"/>
    <w:rsid w:val="00825C80"/>
    <w:rsid w:val="008F2075"/>
    <w:rsid w:val="009253CD"/>
    <w:rsid w:val="009B70D4"/>
    <w:rsid w:val="009C2970"/>
    <w:rsid w:val="00A262DF"/>
    <w:rsid w:val="00A84804"/>
    <w:rsid w:val="00B6590E"/>
    <w:rsid w:val="00B776C5"/>
    <w:rsid w:val="00C31030"/>
    <w:rsid w:val="00C43CA3"/>
    <w:rsid w:val="00CF7FE8"/>
    <w:rsid w:val="00D501FF"/>
    <w:rsid w:val="00D50D1D"/>
    <w:rsid w:val="00D66A46"/>
    <w:rsid w:val="00D92D3A"/>
    <w:rsid w:val="00DF09C0"/>
    <w:rsid w:val="00E360B4"/>
    <w:rsid w:val="00EA1277"/>
    <w:rsid w:val="00EB7476"/>
    <w:rsid w:val="00ED1764"/>
    <w:rsid w:val="00F321ED"/>
    <w:rsid w:val="00FA34FB"/>
    <w:rsid w:val="00FC2EFA"/>
    <w:rsid w:val="00FD3764"/>
    <w:rsid w:val="00FD7290"/>
    <w:rsid w:val="00FF6B7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27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6C5"/>
    <w:pPr>
      <w:ind w:left="720"/>
      <w:contextualSpacing/>
    </w:pPr>
  </w:style>
  <w:style w:type="paragraph" w:styleId="Footer">
    <w:name w:val="footer"/>
    <w:basedOn w:val="Normal"/>
    <w:link w:val="FooterChar"/>
    <w:uiPriority w:val="99"/>
    <w:unhideWhenUsed/>
    <w:rsid w:val="00C866E1"/>
    <w:pPr>
      <w:tabs>
        <w:tab w:val="center" w:pos="4320"/>
        <w:tab w:val="right" w:pos="8640"/>
      </w:tabs>
      <w:spacing w:after="0"/>
    </w:pPr>
  </w:style>
  <w:style w:type="character" w:customStyle="1" w:styleId="FooterChar">
    <w:name w:val="Footer Char"/>
    <w:basedOn w:val="DefaultParagraphFont"/>
    <w:link w:val="Footer"/>
    <w:uiPriority w:val="99"/>
    <w:rsid w:val="00C866E1"/>
    <w:rPr>
      <w:sz w:val="24"/>
      <w:szCs w:val="24"/>
    </w:rPr>
  </w:style>
  <w:style w:type="character" w:styleId="PageNumber">
    <w:name w:val="page number"/>
    <w:basedOn w:val="DefaultParagraphFont"/>
    <w:uiPriority w:val="99"/>
    <w:semiHidden/>
    <w:unhideWhenUsed/>
    <w:rsid w:val="00C866E1"/>
  </w:style>
  <w:style w:type="character" w:styleId="CommentReference">
    <w:name w:val="annotation reference"/>
    <w:basedOn w:val="DefaultParagraphFont"/>
    <w:uiPriority w:val="99"/>
    <w:semiHidden/>
    <w:unhideWhenUsed/>
    <w:rsid w:val="008E00E9"/>
    <w:rPr>
      <w:sz w:val="18"/>
      <w:szCs w:val="18"/>
    </w:rPr>
  </w:style>
  <w:style w:type="paragraph" w:styleId="CommentText">
    <w:name w:val="annotation text"/>
    <w:basedOn w:val="Normal"/>
    <w:link w:val="CommentTextChar"/>
    <w:uiPriority w:val="99"/>
    <w:semiHidden/>
    <w:unhideWhenUsed/>
    <w:rsid w:val="008E00E9"/>
  </w:style>
  <w:style w:type="character" w:customStyle="1" w:styleId="CommentTextChar">
    <w:name w:val="Comment Text Char"/>
    <w:basedOn w:val="DefaultParagraphFont"/>
    <w:link w:val="CommentText"/>
    <w:uiPriority w:val="99"/>
    <w:semiHidden/>
    <w:rsid w:val="008E00E9"/>
    <w:rPr>
      <w:sz w:val="24"/>
      <w:szCs w:val="24"/>
    </w:rPr>
  </w:style>
  <w:style w:type="paragraph" w:styleId="CommentSubject">
    <w:name w:val="annotation subject"/>
    <w:basedOn w:val="CommentText"/>
    <w:next w:val="CommentText"/>
    <w:link w:val="CommentSubjectChar"/>
    <w:uiPriority w:val="99"/>
    <w:semiHidden/>
    <w:unhideWhenUsed/>
    <w:rsid w:val="008E00E9"/>
    <w:rPr>
      <w:b/>
      <w:bCs/>
      <w:sz w:val="20"/>
      <w:szCs w:val="20"/>
    </w:rPr>
  </w:style>
  <w:style w:type="character" w:customStyle="1" w:styleId="CommentSubjectChar">
    <w:name w:val="Comment Subject Char"/>
    <w:basedOn w:val="CommentTextChar"/>
    <w:link w:val="CommentSubject"/>
    <w:uiPriority w:val="99"/>
    <w:semiHidden/>
    <w:rsid w:val="008E00E9"/>
    <w:rPr>
      <w:b/>
      <w:bCs/>
      <w:sz w:val="24"/>
      <w:szCs w:val="24"/>
    </w:rPr>
  </w:style>
  <w:style w:type="paragraph" w:styleId="BalloonText">
    <w:name w:val="Balloon Text"/>
    <w:basedOn w:val="Normal"/>
    <w:link w:val="BalloonTextChar"/>
    <w:uiPriority w:val="99"/>
    <w:semiHidden/>
    <w:unhideWhenUsed/>
    <w:rsid w:val="008E00E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E00E9"/>
    <w:rPr>
      <w:rFonts w:ascii="Lucida Grande" w:hAnsi="Lucida Grande"/>
      <w:sz w:val="18"/>
      <w:szCs w:val="18"/>
    </w:rPr>
  </w:style>
  <w:style w:type="paragraph" w:styleId="HTMLPreformatted">
    <w:name w:val="HTML Preformatted"/>
    <w:basedOn w:val="Normal"/>
    <w:link w:val="HTMLPreformattedChar"/>
    <w:uiPriority w:val="99"/>
    <w:semiHidden/>
    <w:unhideWhenUsed/>
    <w:rsid w:val="0077238E"/>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77238E"/>
    <w:rPr>
      <w:rFonts w:ascii="Courier" w:hAnsi="Courier"/>
    </w:rPr>
  </w:style>
  <w:style w:type="paragraph" w:styleId="EndnoteText">
    <w:name w:val="endnote text"/>
    <w:basedOn w:val="Normal"/>
    <w:link w:val="EndnoteTextChar"/>
    <w:uiPriority w:val="99"/>
    <w:semiHidden/>
    <w:unhideWhenUsed/>
    <w:rsid w:val="00CF7FE8"/>
    <w:pPr>
      <w:spacing w:after="0"/>
    </w:pPr>
  </w:style>
  <w:style w:type="character" w:customStyle="1" w:styleId="EndnoteTextChar">
    <w:name w:val="Endnote Text Char"/>
    <w:basedOn w:val="DefaultParagraphFont"/>
    <w:link w:val="EndnoteText"/>
    <w:uiPriority w:val="99"/>
    <w:semiHidden/>
    <w:rsid w:val="00CF7FE8"/>
    <w:rPr>
      <w:sz w:val="24"/>
      <w:szCs w:val="24"/>
    </w:rPr>
  </w:style>
  <w:style w:type="character" w:styleId="EndnoteReference">
    <w:name w:val="endnote reference"/>
    <w:basedOn w:val="DefaultParagraphFont"/>
    <w:uiPriority w:val="99"/>
    <w:semiHidden/>
    <w:unhideWhenUsed/>
    <w:rsid w:val="00CF7FE8"/>
    <w:rPr>
      <w:vertAlign w:val="superscript"/>
    </w:rPr>
  </w:style>
  <w:style w:type="character" w:styleId="Hyperlink">
    <w:name w:val="Hyperlink"/>
    <w:basedOn w:val="DefaultParagraphFont"/>
    <w:uiPriority w:val="99"/>
    <w:unhideWhenUsed/>
    <w:rsid w:val="00783C07"/>
    <w:rPr>
      <w:color w:val="0000FF" w:themeColor="hyperlink"/>
      <w:u w:val="single"/>
    </w:rPr>
  </w:style>
  <w:style w:type="paragraph" w:styleId="Header">
    <w:name w:val="header"/>
    <w:basedOn w:val="Normal"/>
    <w:link w:val="HeaderChar"/>
    <w:uiPriority w:val="99"/>
    <w:unhideWhenUsed/>
    <w:rsid w:val="00B6590E"/>
    <w:pPr>
      <w:tabs>
        <w:tab w:val="center" w:pos="4320"/>
        <w:tab w:val="right" w:pos="8640"/>
      </w:tabs>
      <w:spacing w:after="0"/>
    </w:pPr>
  </w:style>
  <w:style w:type="character" w:customStyle="1" w:styleId="HeaderChar">
    <w:name w:val="Header Char"/>
    <w:basedOn w:val="DefaultParagraphFont"/>
    <w:link w:val="Header"/>
    <w:uiPriority w:val="99"/>
    <w:rsid w:val="00B6590E"/>
    <w:rPr>
      <w:sz w:val="24"/>
      <w:szCs w:val="24"/>
    </w:rPr>
  </w:style>
  <w:style w:type="paragraph" w:customStyle="1" w:styleId="Default">
    <w:name w:val="Default"/>
    <w:rsid w:val="0008116F"/>
    <w:pPr>
      <w:widowControl w:val="0"/>
      <w:autoSpaceDE w:val="0"/>
      <w:autoSpaceDN w:val="0"/>
      <w:adjustRightInd w:val="0"/>
      <w:spacing w:after="0"/>
    </w:pPr>
    <w:rPr>
      <w:rFonts w:ascii="Garamond" w:eastAsia="Cambria" w:hAnsi="Garamond" w:cs="Garamond"/>
      <w:color w:val="000000"/>
      <w:sz w:val="24"/>
      <w:szCs w:val="24"/>
      <w:lang w:eastAsia="en-US"/>
    </w:rPr>
  </w:style>
  <w:style w:type="character" w:customStyle="1" w:styleId="e-03">
    <w:name w:val="e-03"/>
    <w:basedOn w:val="DefaultParagraphFont"/>
    <w:rsid w:val="00C310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6C5"/>
    <w:pPr>
      <w:ind w:left="720"/>
      <w:contextualSpacing/>
    </w:pPr>
  </w:style>
  <w:style w:type="paragraph" w:styleId="Footer">
    <w:name w:val="footer"/>
    <w:basedOn w:val="Normal"/>
    <w:link w:val="FooterChar"/>
    <w:uiPriority w:val="99"/>
    <w:unhideWhenUsed/>
    <w:rsid w:val="00C866E1"/>
    <w:pPr>
      <w:tabs>
        <w:tab w:val="center" w:pos="4320"/>
        <w:tab w:val="right" w:pos="8640"/>
      </w:tabs>
      <w:spacing w:after="0"/>
    </w:pPr>
  </w:style>
  <w:style w:type="character" w:customStyle="1" w:styleId="FooterChar">
    <w:name w:val="Footer Char"/>
    <w:basedOn w:val="DefaultParagraphFont"/>
    <w:link w:val="Footer"/>
    <w:uiPriority w:val="99"/>
    <w:rsid w:val="00C866E1"/>
    <w:rPr>
      <w:sz w:val="24"/>
      <w:szCs w:val="24"/>
    </w:rPr>
  </w:style>
  <w:style w:type="character" w:styleId="PageNumber">
    <w:name w:val="page number"/>
    <w:basedOn w:val="DefaultParagraphFont"/>
    <w:uiPriority w:val="99"/>
    <w:semiHidden/>
    <w:unhideWhenUsed/>
    <w:rsid w:val="00C866E1"/>
  </w:style>
  <w:style w:type="character" w:styleId="CommentReference">
    <w:name w:val="annotation reference"/>
    <w:basedOn w:val="DefaultParagraphFont"/>
    <w:uiPriority w:val="99"/>
    <w:semiHidden/>
    <w:unhideWhenUsed/>
    <w:rsid w:val="008E00E9"/>
    <w:rPr>
      <w:sz w:val="18"/>
      <w:szCs w:val="18"/>
    </w:rPr>
  </w:style>
  <w:style w:type="paragraph" w:styleId="CommentText">
    <w:name w:val="annotation text"/>
    <w:basedOn w:val="Normal"/>
    <w:link w:val="CommentTextChar"/>
    <w:uiPriority w:val="99"/>
    <w:semiHidden/>
    <w:unhideWhenUsed/>
    <w:rsid w:val="008E00E9"/>
  </w:style>
  <w:style w:type="character" w:customStyle="1" w:styleId="CommentTextChar">
    <w:name w:val="Comment Text Char"/>
    <w:basedOn w:val="DefaultParagraphFont"/>
    <w:link w:val="CommentText"/>
    <w:uiPriority w:val="99"/>
    <w:semiHidden/>
    <w:rsid w:val="008E00E9"/>
    <w:rPr>
      <w:sz w:val="24"/>
      <w:szCs w:val="24"/>
    </w:rPr>
  </w:style>
  <w:style w:type="paragraph" w:styleId="CommentSubject">
    <w:name w:val="annotation subject"/>
    <w:basedOn w:val="CommentText"/>
    <w:next w:val="CommentText"/>
    <w:link w:val="CommentSubjectChar"/>
    <w:uiPriority w:val="99"/>
    <w:semiHidden/>
    <w:unhideWhenUsed/>
    <w:rsid w:val="008E00E9"/>
    <w:rPr>
      <w:b/>
      <w:bCs/>
      <w:sz w:val="20"/>
      <w:szCs w:val="20"/>
    </w:rPr>
  </w:style>
  <w:style w:type="character" w:customStyle="1" w:styleId="CommentSubjectChar">
    <w:name w:val="Comment Subject Char"/>
    <w:basedOn w:val="CommentTextChar"/>
    <w:link w:val="CommentSubject"/>
    <w:uiPriority w:val="99"/>
    <w:semiHidden/>
    <w:rsid w:val="008E00E9"/>
    <w:rPr>
      <w:b/>
      <w:bCs/>
      <w:sz w:val="24"/>
      <w:szCs w:val="24"/>
    </w:rPr>
  </w:style>
  <w:style w:type="paragraph" w:styleId="BalloonText">
    <w:name w:val="Balloon Text"/>
    <w:basedOn w:val="Normal"/>
    <w:link w:val="BalloonTextChar"/>
    <w:uiPriority w:val="99"/>
    <w:semiHidden/>
    <w:unhideWhenUsed/>
    <w:rsid w:val="008E00E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E00E9"/>
    <w:rPr>
      <w:rFonts w:ascii="Lucida Grande" w:hAnsi="Lucida Grande"/>
      <w:sz w:val="18"/>
      <w:szCs w:val="18"/>
    </w:rPr>
  </w:style>
  <w:style w:type="paragraph" w:styleId="HTMLPreformatted">
    <w:name w:val="HTML Preformatted"/>
    <w:basedOn w:val="Normal"/>
    <w:link w:val="HTMLPreformattedChar"/>
    <w:uiPriority w:val="99"/>
    <w:semiHidden/>
    <w:unhideWhenUsed/>
    <w:rsid w:val="0077238E"/>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77238E"/>
    <w:rPr>
      <w:rFonts w:ascii="Courier" w:hAnsi="Courier"/>
    </w:rPr>
  </w:style>
  <w:style w:type="paragraph" w:styleId="EndnoteText">
    <w:name w:val="endnote text"/>
    <w:basedOn w:val="Normal"/>
    <w:link w:val="EndnoteTextChar"/>
    <w:uiPriority w:val="99"/>
    <w:semiHidden/>
    <w:unhideWhenUsed/>
    <w:rsid w:val="00CF7FE8"/>
    <w:pPr>
      <w:spacing w:after="0"/>
    </w:pPr>
  </w:style>
  <w:style w:type="character" w:customStyle="1" w:styleId="EndnoteTextChar">
    <w:name w:val="Endnote Text Char"/>
    <w:basedOn w:val="DefaultParagraphFont"/>
    <w:link w:val="EndnoteText"/>
    <w:uiPriority w:val="99"/>
    <w:semiHidden/>
    <w:rsid w:val="00CF7FE8"/>
    <w:rPr>
      <w:sz w:val="24"/>
      <w:szCs w:val="24"/>
    </w:rPr>
  </w:style>
  <w:style w:type="character" w:styleId="EndnoteReference">
    <w:name w:val="endnote reference"/>
    <w:basedOn w:val="DefaultParagraphFont"/>
    <w:uiPriority w:val="99"/>
    <w:semiHidden/>
    <w:unhideWhenUsed/>
    <w:rsid w:val="00CF7FE8"/>
    <w:rPr>
      <w:vertAlign w:val="superscript"/>
    </w:rPr>
  </w:style>
  <w:style w:type="character" w:styleId="Hyperlink">
    <w:name w:val="Hyperlink"/>
    <w:basedOn w:val="DefaultParagraphFont"/>
    <w:uiPriority w:val="99"/>
    <w:unhideWhenUsed/>
    <w:rsid w:val="00783C07"/>
    <w:rPr>
      <w:color w:val="0000FF" w:themeColor="hyperlink"/>
      <w:u w:val="single"/>
    </w:rPr>
  </w:style>
  <w:style w:type="paragraph" w:styleId="Header">
    <w:name w:val="header"/>
    <w:basedOn w:val="Normal"/>
    <w:link w:val="HeaderChar"/>
    <w:uiPriority w:val="99"/>
    <w:unhideWhenUsed/>
    <w:rsid w:val="00B6590E"/>
    <w:pPr>
      <w:tabs>
        <w:tab w:val="center" w:pos="4320"/>
        <w:tab w:val="right" w:pos="8640"/>
      </w:tabs>
      <w:spacing w:after="0"/>
    </w:pPr>
  </w:style>
  <w:style w:type="character" w:customStyle="1" w:styleId="HeaderChar">
    <w:name w:val="Header Char"/>
    <w:basedOn w:val="DefaultParagraphFont"/>
    <w:link w:val="Header"/>
    <w:uiPriority w:val="99"/>
    <w:rsid w:val="00B6590E"/>
    <w:rPr>
      <w:sz w:val="24"/>
      <w:szCs w:val="24"/>
    </w:rPr>
  </w:style>
  <w:style w:type="paragraph" w:customStyle="1" w:styleId="Default">
    <w:name w:val="Default"/>
    <w:rsid w:val="0008116F"/>
    <w:pPr>
      <w:widowControl w:val="0"/>
      <w:autoSpaceDE w:val="0"/>
      <w:autoSpaceDN w:val="0"/>
      <w:adjustRightInd w:val="0"/>
      <w:spacing w:after="0"/>
    </w:pPr>
    <w:rPr>
      <w:rFonts w:ascii="Garamond" w:eastAsia="Cambria" w:hAnsi="Garamond" w:cs="Garamond"/>
      <w:color w:val="000000"/>
      <w:sz w:val="24"/>
      <w:szCs w:val="24"/>
      <w:lang w:eastAsia="en-US"/>
    </w:rPr>
  </w:style>
  <w:style w:type="character" w:customStyle="1" w:styleId="e-03">
    <w:name w:val="e-03"/>
    <w:basedOn w:val="DefaultParagraphFont"/>
    <w:rsid w:val="00C3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1481">
      <w:bodyDiv w:val="1"/>
      <w:marLeft w:val="0"/>
      <w:marRight w:val="0"/>
      <w:marTop w:val="0"/>
      <w:marBottom w:val="0"/>
      <w:divBdr>
        <w:top w:val="none" w:sz="0" w:space="0" w:color="auto"/>
        <w:left w:val="none" w:sz="0" w:space="0" w:color="auto"/>
        <w:bottom w:val="none" w:sz="0" w:space="0" w:color="auto"/>
        <w:right w:val="none" w:sz="0" w:space="0" w:color="auto"/>
      </w:divBdr>
    </w:div>
    <w:div w:id="914316587">
      <w:bodyDiv w:val="1"/>
      <w:marLeft w:val="0"/>
      <w:marRight w:val="0"/>
      <w:marTop w:val="0"/>
      <w:marBottom w:val="0"/>
      <w:divBdr>
        <w:top w:val="none" w:sz="0" w:space="0" w:color="auto"/>
        <w:left w:val="none" w:sz="0" w:space="0" w:color="auto"/>
        <w:bottom w:val="none" w:sz="0" w:space="0" w:color="auto"/>
        <w:right w:val="none" w:sz="0" w:space="0" w:color="auto"/>
      </w:divBdr>
    </w:div>
    <w:div w:id="1583177950">
      <w:bodyDiv w:val="1"/>
      <w:marLeft w:val="0"/>
      <w:marRight w:val="0"/>
      <w:marTop w:val="0"/>
      <w:marBottom w:val="0"/>
      <w:divBdr>
        <w:top w:val="none" w:sz="0" w:space="0" w:color="auto"/>
        <w:left w:val="none" w:sz="0" w:space="0" w:color="auto"/>
        <w:bottom w:val="none" w:sz="0" w:space="0" w:color="auto"/>
        <w:right w:val="none" w:sz="0" w:space="0" w:color="auto"/>
      </w:divBdr>
    </w:div>
    <w:div w:id="1829981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1714</Words>
  <Characters>9770</Characters>
  <Application>Microsoft Macintosh Word</Application>
  <DocSecurity>0</DocSecurity>
  <Lines>81</Lines>
  <Paragraphs>22</Paragraphs>
  <ScaleCrop>false</ScaleCrop>
  <Company>Georgetown University</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Touschner</dc:creator>
  <cp:keywords/>
  <dc:description/>
  <cp:lastModifiedBy>Joseph Touschner</cp:lastModifiedBy>
  <cp:revision>2</cp:revision>
  <dcterms:created xsi:type="dcterms:W3CDTF">2013-02-19T19:36:00Z</dcterms:created>
  <dcterms:modified xsi:type="dcterms:W3CDTF">2013-02-19T19:36:00Z</dcterms:modified>
</cp:coreProperties>
</file>