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1554" w14:textId="1143E5A2" w:rsidR="00CA5F28" w:rsidRDefault="00CA5F28" w:rsidP="00CA5F28">
      <w:pPr>
        <w:spacing w:after="0"/>
      </w:pPr>
      <w:r>
        <w:rPr>
          <w:noProof/>
          <w:lang w:eastAsia="en-US"/>
        </w:rPr>
        <w:drawing>
          <wp:anchor distT="0" distB="0" distL="114300" distR="114300" simplePos="0" relativeHeight="251659264" behindDoc="0" locked="0" layoutInCell="1" allowOverlap="1" wp14:anchorId="74CD3E48" wp14:editId="2E05EA1A">
            <wp:simplePos x="0" y="0"/>
            <wp:positionH relativeFrom="margin">
              <wp:posOffset>-1205865</wp:posOffset>
            </wp:positionH>
            <wp:positionV relativeFrom="margin">
              <wp:posOffset>-911860</wp:posOffset>
            </wp:positionV>
            <wp:extent cx="7875905" cy="1341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9">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434CE3" w14:textId="77777777" w:rsidR="00CA5F28" w:rsidRDefault="00CA5F28" w:rsidP="00CA5F28">
      <w:pPr>
        <w:spacing w:after="0"/>
      </w:pPr>
    </w:p>
    <w:p w14:paraId="40974FC1" w14:textId="62BDC84B" w:rsidR="00CA5F28" w:rsidRPr="00F3135D" w:rsidRDefault="00CA5F28" w:rsidP="00CA5F28">
      <w:pPr>
        <w:rPr>
          <w:rFonts w:ascii="Times New Roman" w:hAnsi="Times New Roman"/>
          <w:u w:val="single"/>
        </w:rPr>
      </w:pPr>
      <w:r>
        <w:rPr>
          <w:rFonts w:ascii="Times New Roman" w:hAnsi="Times New Roman"/>
          <w:u w:val="single"/>
        </w:rPr>
        <w:t>VIA ELECTRONIC SUBMISSION AT REGULATIONS.GOV</w:t>
      </w:r>
      <w:r w:rsidR="00261CFC">
        <w:rPr>
          <w:rFonts w:ascii="Times New Roman" w:hAnsi="Times New Roman"/>
          <w:u w:val="single"/>
        </w:rPr>
        <w:t xml:space="preserve"> (</w:t>
      </w:r>
      <w:r w:rsidR="00261CFC" w:rsidRPr="00261CFC">
        <w:rPr>
          <w:rFonts w:ascii="Times New Roman" w:hAnsi="Times New Roman"/>
          <w:u w:val="single"/>
        </w:rPr>
        <w:t>1jx-88ml-6cqf</w:t>
      </w:r>
      <w:r w:rsidR="00261CFC">
        <w:rPr>
          <w:rFonts w:ascii="Times New Roman" w:hAnsi="Times New Roman"/>
          <w:u w:val="single"/>
        </w:rPr>
        <w:t>)</w:t>
      </w:r>
      <w:bookmarkStart w:id="0" w:name="_GoBack"/>
      <w:bookmarkEnd w:id="0"/>
    </w:p>
    <w:p w14:paraId="0A1DB5EB" w14:textId="77777777" w:rsidR="00CA5F28" w:rsidRPr="006779DA" w:rsidRDefault="00CA5F28" w:rsidP="00CA5F28">
      <w:pPr>
        <w:rPr>
          <w:rFonts w:ascii="Times New Roman" w:hAnsi="Times New Roman"/>
        </w:rPr>
      </w:pPr>
      <w:r>
        <w:rPr>
          <w:rFonts w:ascii="Times New Roman" w:hAnsi="Times New Roman"/>
        </w:rPr>
        <w:t>November</w:t>
      </w:r>
      <w:r w:rsidRPr="006779DA">
        <w:rPr>
          <w:rFonts w:ascii="Times New Roman" w:hAnsi="Times New Roman"/>
        </w:rPr>
        <w:t xml:space="preserve"> </w:t>
      </w:r>
      <w:r>
        <w:rPr>
          <w:rFonts w:ascii="Times New Roman" w:hAnsi="Times New Roman"/>
        </w:rPr>
        <w:t>8</w:t>
      </w:r>
      <w:r w:rsidRPr="006779DA">
        <w:rPr>
          <w:rFonts w:ascii="Times New Roman" w:hAnsi="Times New Roman"/>
        </w:rPr>
        <w:t>, 2013</w:t>
      </w:r>
    </w:p>
    <w:p w14:paraId="624A3B00" w14:textId="0C858724" w:rsidR="00CA5F28" w:rsidRDefault="00CA5F28" w:rsidP="00CA5F28">
      <w:pPr>
        <w:rPr>
          <w:rFonts w:ascii="Times New Roman" w:hAnsi="Times New Roman"/>
        </w:rPr>
      </w:pPr>
      <w:r>
        <w:rPr>
          <w:rFonts w:ascii="Times New Roman" w:hAnsi="Times New Roman"/>
        </w:rPr>
        <w:t>CC:PA:LPD:PR (REG-132455-11)</w:t>
      </w:r>
      <w:r>
        <w:rPr>
          <w:rFonts w:ascii="Times New Roman" w:hAnsi="Times New Roman"/>
        </w:rPr>
        <w:br/>
        <w:t>Room 5203</w:t>
      </w:r>
      <w:r>
        <w:rPr>
          <w:rFonts w:ascii="Times New Roman" w:hAnsi="Times New Roman"/>
        </w:rPr>
        <w:br/>
        <w:t>Internal Revenue Service</w:t>
      </w:r>
      <w:r>
        <w:rPr>
          <w:rFonts w:ascii="Times New Roman" w:hAnsi="Times New Roman"/>
        </w:rPr>
        <w:br/>
        <w:t>PO Box 7604, Ben Franklin Station</w:t>
      </w:r>
      <w:r>
        <w:rPr>
          <w:rFonts w:ascii="Times New Roman" w:hAnsi="Times New Roman"/>
        </w:rPr>
        <w:br/>
        <w:t>Washington, DC 20044</w:t>
      </w:r>
    </w:p>
    <w:p w14:paraId="54C66BFB" w14:textId="77777777" w:rsidR="00CA5F28" w:rsidRDefault="00CA5F28" w:rsidP="00CA5F28">
      <w:pPr>
        <w:rPr>
          <w:rFonts w:ascii="Times New Roman" w:hAnsi="Times New Roman"/>
          <w:b/>
        </w:rPr>
      </w:pPr>
      <w:r>
        <w:rPr>
          <w:rFonts w:ascii="Times New Roman" w:hAnsi="Times New Roman"/>
          <w:b/>
        </w:rPr>
        <w:t>RE: RIN 1545-BL31</w:t>
      </w:r>
    </w:p>
    <w:p w14:paraId="5BB37767" w14:textId="41EC5A16" w:rsidR="00CA5F28" w:rsidRDefault="00CA5F28" w:rsidP="00CA5F28">
      <w:pPr>
        <w:rPr>
          <w:rFonts w:ascii="Times New Roman" w:hAnsi="Times New Roman"/>
          <w:b/>
        </w:rPr>
      </w:pPr>
      <w:r>
        <w:rPr>
          <w:rFonts w:ascii="Times New Roman" w:hAnsi="Times New Roman"/>
          <w:b/>
        </w:rPr>
        <w:t>Comments on IRS Notice of Proposed Rulemaking Concerning Information Reporting of Minimum Essential Coverage, 78 Fed. Reg. 54986 (Sept. 9, 2013)</w:t>
      </w:r>
    </w:p>
    <w:p w14:paraId="708ED748" w14:textId="2348DDD4" w:rsidR="00CA5F28" w:rsidRDefault="00CA5F28" w:rsidP="00CA5F28">
      <w:pPr>
        <w:rPr>
          <w:rFonts w:ascii="Times New Roman" w:hAnsi="Times New Roman"/>
        </w:rPr>
      </w:pPr>
      <w:r>
        <w:rPr>
          <w:rFonts w:ascii="Times New Roman" w:hAnsi="Times New Roman"/>
        </w:rPr>
        <w:t>Dear Acting Deputy Commissioner Maloy:</w:t>
      </w:r>
    </w:p>
    <w:p w14:paraId="3715DDC2" w14:textId="784A5B5D" w:rsidR="00CA5F28" w:rsidRDefault="00CA5F28" w:rsidP="00CA5F28">
      <w:pPr>
        <w:rPr>
          <w:rFonts w:ascii="Times New Roman" w:hAnsi="Times New Roman"/>
        </w:rPr>
      </w:pPr>
      <w:r w:rsidRPr="00AF5FAE">
        <w:rPr>
          <w:rFonts w:ascii="Times New Roman" w:hAnsi="Times New Roman"/>
        </w:rPr>
        <w:t xml:space="preserve">Georgetown University’s Center for Children and Families (CCF) is an independent, nonpartisan policy and research center whose mission is to expand and improve health coverage for America's children and families.  </w:t>
      </w:r>
      <w:r>
        <w:rPr>
          <w:rFonts w:ascii="Times New Roman" w:hAnsi="Times New Roman"/>
        </w:rPr>
        <w:t xml:space="preserve"> CCF submits the following comments in response to the notice of proposed rulemaking concerning information reporting on minimum essential coverage (78 Fed. Reg. 54986 (Sept. 9, 2013)), pursuant to §1502 of the Patient Protection and Affordable Care Act (ACA). These comments support proposed methods of collecting data about dependents of insured individuals and recommend changes to protect the privacy of personally identifiable information and to more effectively encourage access of families, including those with immigrants, to health insurance under the ACA. </w:t>
      </w:r>
    </w:p>
    <w:p w14:paraId="786A64B5" w14:textId="579FEAFB" w:rsidR="00CA5F28" w:rsidRDefault="00CA5F28" w:rsidP="00CA5F28">
      <w:pPr>
        <w:rPr>
          <w:rFonts w:ascii="Times New Roman" w:hAnsi="Times New Roman"/>
          <w:b/>
          <w:u w:val="single"/>
        </w:rPr>
      </w:pPr>
      <w:r>
        <w:rPr>
          <w:rFonts w:ascii="Times New Roman" w:hAnsi="Times New Roman"/>
          <w:b/>
          <w:u w:val="single"/>
        </w:rPr>
        <w:t xml:space="preserve">§1.6055-1.  Information reporting for minimum essential coverage. </w:t>
      </w:r>
    </w:p>
    <w:p w14:paraId="24A678D4" w14:textId="77777777" w:rsidR="00CA5F28" w:rsidRDefault="00CA5F28" w:rsidP="00CA5F28">
      <w:pPr>
        <w:rPr>
          <w:rFonts w:ascii="Times New Roman" w:hAnsi="Times New Roman"/>
        </w:rPr>
      </w:pPr>
      <w:r>
        <w:rPr>
          <w:rFonts w:ascii="Times New Roman" w:hAnsi="Times New Roman"/>
        </w:rPr>
        <w:t>As IRS states in the preamble at 54990, “[t]he proposed regulations adopt TIN (tax identification number) reporting, consistent with the statute” at ACA §1502.  Because TIN requests are more likely to pose challenges to immigrants than to citizens, it is helpful that the preamble acknowledges that responsible entities such as issuers and self-insured employers may have difficulty obtaining TINs for some covered individuals, may not always collect TINs from dependents, and may seek to enroll individuals who decline to provide TINs.  Unacknowledged in the preamble, however, is the circumstance that TINs may be unavailable for some individuals.  We recommend that this be added to help prevent undue concern on the part of entities encountering this circumstance, and the drawing of erroneous inferences of fault on the part of consumers.</w:t>
      </w:r>
    </w:p>
    <w:p w14:paraId="7D544490" w14:textId="2D06841D" w:rsidR="00CA5F28" w:rsidRDefault="00CA5F28" w:rsidP="00CA5F28">
      <w:pPr>
        <w:rPr>
          <w:rFonts w:ascii="Times New Roman" w:hAnsi="Times New Roman"/>
        </w:rPr>
      </w:pPr>
      <w:r>
        <w:rPr>
          <w:rFonts w:ascii="Times New Roman" w:hAnsi="Times New Roman"/>
        </w:rPr>
        <w:t xml:space="preserve">As noted above, eligible non-citizens are more likely than citizens to lack a TIN in the form of a Social Security number (SSN) or individual tax identification number (ITIN).  </w:t>
      </w:r>
      <w:r>
        <w:rPr>
          <w:rFonts w:ascii="Times New Roman" w:hAnsi="Times New Roman"/>
        </w:rPr>
        <w:lastRenderedPageBreak/>
        <w:t xml:space="preserve">HHS rules account for this by allowing states to issue unique identifier numbers for health insurance enrollment.  For example, non-citizens who have newly arrived in the U.S. (along with some citizens and other immigrants who have never previously needed to file a tax return) would not have a TIN until at least the next tax-filing year.  </w:t>
      </w:r>
    </w:p>
    <w:p w14:paraId="701A37BD" w14:textId="21723868" w:rsidR="00CA5F28" w:rsidRDefault="00CA5F28" w:rsidP="00CA5F28">
      <w:pPr>
        <w:rPr>
          <w:rFonts w:ascii="Times New Roman" w:hAnsi="Times New Roman"/>
        </w:rPr>
      </w:pPr>
      <w:r>
        <w:rPr>
          <w:rFonts w:ascii="Times New Roman" w:hAnsi="Times New Roman"/>
        </w:rPr>
        <w:t>In addition, some lawfully present immigrants do not have an immigration status that confers work-authorized eligibility for a regular SSN.  For these consumers, the process of obtaining a non-work SSN can be difficult if not impossible without expert help from an advocate or other assister.  Further, for individuals ineligible for a SSN to obtain a ITIN, they must submit two certified documents from a list of thirteen options,</w:t>
      </w:r>
      <w:r>
        <w:rPr>
          <w:rStyle w:val="FootnoteReference"/>
          <w:rFonts w:ascii="Times New Roman" w:hAnsi="Times New Roman"/>
        </w:rPr>
        <w:footnoteReference w:id="1"/>
      </w:r>
      <w:r>
        <w:rPr>
          <w:rFonts w:ascii="Times New Roman" w:hAnsi="Times New Roman"/>
        </w:rPr>
        <w:t xml:space="preserve"> which may not be readily available or easily obtainable.  To promote simplified enrollment as well as equity and fairness, it is important that policies not deter and disadvantage ACA-eligible immigrants from enrolling in coverage that is more easily available to other employees’ dependents because they are citizens.   </w:t>
      </w:r>
    </w:p>
    <w:p w14:paraId="7FDB33A7" w14:textId="35EAA6CD" w:rsidR="00CA5F28" w:rsidRDefault="00CA5F28" w:rsidP="00CA5F28">
      <w:pPr>
        <w:rPr>
          <w:rFonts w:ascii="Times New Roman" w:hAnsi="Times New Roman"/>
        </w:rPr>
      </w:pPr>
      <w:r>
        <w:rPr>
          <w:rFonts w:ascii="Times New Roman" w:hAnsi="Times New Roman"/>
        </w:rPr>
        <w:t xml:space="preserve">We thus strongly support proposed §1.6055-1(d)(1)(iii) of the NPRM, providing that the insurer or other responsible entity may submit the date of birth (DOB) of a covered individual if a TIN is not available.  </w:t>
      </w:r>
    </w:p>
    <w:p w14:paraId="5FE12A23" w14:textId="5EB37F9A" w:rsidR="00CA5F28" w:rsidRDefault="00CA5F28" w:rsidP="00CA5F28">
      <w:pPr>
        <w:rPr>
          <w:rFonts w:ascii="Times New Roman" w:hAnsi="Times New Roman"/>
        </w:rPr>
      </w:pPr>
      <w:r>
        <w:rPr>
          <w:rFonts w:ascii="Times New Roman" w:hAnsi="Times New Roman"/>
        </w:rPr>
        <w:t xml:space="preserve">We note, however, that the lack of a TIN may create challenges for IRS in assessing appropriate individual responsibility payments.  When one person serves as the responsible individual for an insured child but a different person claims the child as a tax dependent (for instance separated parents where the noncustodial parent purchases a child’s health insurance), IRS will need to match the report of coverage to the tax return where the child is named as a dependent.  We urge IRS to take appropriate measures to avoid assessing an individual responsibility payment when there is no TIN to facilitate making the appropriate match.  IRS can use dependents’ names, DOB, and other information to make the appropriate match and assure that insured children do not erroneously trigger individual responsibility payments.       </w:t>
      </w:r>
    </w:p>
    <w:p w14:paraId="7B4FDCE6" w14:textId="273320E5" w:rsidR="00CA5F28" w:rsidRDefault="00CA5F28" w:rsidP="00CA5F28">
      <w:pPr>
        <w:rPr>
          <w:rFonts w:ascii="Times New Roman" w:hAnsi="Times New Roman"/>
        </w:rPr>
      </w:pPr>
      <w:r>
        <w:rPr>
          <w:rFonts w:ascii="Times New Roman" w:hAnsi="Times New Roman"/>
        </w:rPr>
        <w:t xml:space="preserve">The preamble at 54990 notes that penalties for reporting failures are waived for entities that make reasonable efforts to collect TINs but do not receive them.  Waiver of these penalties is an essential component if entities are to comply with the requirement to submit the DOB when the TIN is unavailable.  As such, we believe the waiver should be explicitly provided in the final rule.   </w:t>
      </w:r>
    </w:p>
    <w:p w14:paraId="7290B6E1" w14:textId="6F81C4E2" w:rsidR="00CA5F28" w:rsidRDefault="00CA5F28" w:rsidP="00CA5F28">
      <w:pPr>
        <w:rPr>
          <w:rFonts w:ascii="Times New Roman" w:hAnsi="Times New Roman"/>
        </w:rPr>
      </w:pPr>
      <w:r>
        <w:rPr>
          <w:rFonts w:ascii="Times New Roman" w:hAnsi="Times New Roman"/>
        </w:rPr>
        <w:t xml:space="preserve">The preamble describes “reasonable efforts” as three requests for the TIN:  at time of enrollment followed by “two consecutive annual TIN solicitations.”  We see the rationale in repeating a solicitation for a TIN, as the interval between the two solicitations provides opportunity to obtain a TIN if one is available.  But a third solicitation may have a chilling effect on participation in health reform.  The repeated solicitation will become known in immigrant communities and could be interpreted as threatening.  Requests for SSNs or other TINs have been shown to deter participation of immigrants in government programs and activities.  SSNs have been erroneously used by government agencies as a proxy for immigration status, and inferences of unlawful status have been drawn for immigration enforcement purposes.  Three requests could be perceived by immigrant families as onerous or harassing.  </w:t>
      </w:r>
    </w:p>
    <w:p w14:paraId="7B1D153A" w14:textId="606B0E2E" w:rsidR="00CA5F28" w:rsidRDefault="00CA5F28" w:rsidP="00CA5F28">
      <w:pPr>
        <w:rPr>
          <w:rFonts w:ascii="Times New Roman" w:hAnsi="Times New Roman"/>
        </w:rPr>
      </w:pPr>
      <w:r>
        <w:rPr>
          <w:rFonts w:ascii="Times New Roman" w:hAnsi="Times New Roman"/>
        </w:rPr>
        <w:t>The preamble discussion of the reasonable effort standard can also be perceived by insurers as de-emphasizing consumer protections and as supporting or permitting requests for information that is neither necessary nor appropriate to solicit.  O</w:t>
      </w:r>
      <w:r w:rsidRPr="00551989">
        <w:rPr>
          <w:rFonts w:ascii="Times New Roman" w:hAnsi="Times New Roman"/>
        </w:rPr>
        <w:t xml:space="preserve">ther </w:t>
      </w:r>
      <w:r>
        <w:rPr>
          <w:rFonts w:ascii="Times New Roman" w:hAnsi="Times New Roman"/>
        </w:rPr>
        <w:t xml:space="preserve">programs under </w:t>
      </w:r>
      <w:r w:rsidRPr="00551989">
        <w:rPr>
          <w:rFonts w:ascii="Times New Roman" w:hAnsi="Times New Roman"/>
        </w:rPr>
        <w:t xml:space="preserve">the ACA </w:t>
      </w:r>
      <w:r>
        <w:rPr>
          <w:rFonts w:ascii="Times New Roman" w:hAnsi="Times New Roman"/>
        </w:rPr>
        <w:t xml:space="preserve">place robust limitations on </w:t>
      </w:r>
      <w:r w:rsidRPr="00551989">
        <w:rPr>
          <w:rFonts w:ascii="Times New Roman" w:hAnsi="Times New Roman"/>
        </w:rPr>
        <w:t xml:space="preserve">collection of information from </w:t>
      </w:r>
      <w:r>
        <w:rPr>
          <w:rFonts w:ascii="Times New Roman" w:hAnsi="Times New Roman"/>
        </w:rPr>
        <w:t>individuals applying for coverage</w:t>
      </w:r>
      <w:r w:rsidRPr="00551989">
        <w:rPr>
          <w:rFonts w:ascii="Times New Roman" w:hAnsi="Times New Roman"/>
        </w:rPr>
        <w:t xml:space="preserve"> to only that which is “strictly necessary” to determine eligibility</w:t>
      </w:r>
      <w:r>
        <w:rPr>
          <w:rFonts w:ascii="Times New Roman" w:hAnsi="Times New Roman"/>
        </w:rPr>
        <w:t>.</w:t>
      </w:r>
      <w:r w:rsidRPr="00551989">
        <w:rPr>
          <w:rFonts w:ascii="Times New Roman" w:hAnsi="Times New Roman"/>
          <w:vertAlign w:val="superscript"/>
        </w:rPr>
        <w:footnoteReference w:id="2"/>
      </w:r>
      <w:r w:rsidRPr="00551989">
        <w:rPr>
          <w:rFonts w:ascii="Times New Roman" w:hAnsi="Times New Roman"/>
        </w:rPr>
        <w:t xml:space="preserve"> </w:t>
      </w:r>
      <w:r>
        <w:rPr>
          <w:rFonts w:ascii="Times New Roman" w:hAnsi="Times New Roman"/>
        </w:rPr>
        <w:t xml:space="preserve"> The ACA and regulations further protect consumers through privacy protections for</w:t>
      </w:r>
      <w:r w:rsidRPr="00551989">
        <w:rPr>
          <w:rFonts w:ascii="Times New Roman" w:hAnsi="Times New Roman"/>
        </w:rPr>
        <w:t xml:space="preserve"> personally identifiable information </w:t>
      </w:r>
      <w:r>
        <w:rPr>
          <w:rFonts w:ascii="Times New Roman" w:hAnsi="Times New Roman"/>
        </w:rPr>
        <w:t xml:space="preserve">(PII) </w:t>
      </w:r>
      <w:r w:rsidRPr="00551989">
        <w:rPr>
          <w:rFonts w:ascii="Times New Roman" w:hAnsi="Times New Roman"/>
        </w:rPr>
        <w:t>collected as part of an eligibility determination.</w:t>
      </w:r>
      <w:r w:rsidRPr="00551989">
        <w:rPr>
          <w:rFonts w:ascii="Times New Roman" w:hAnsi="Times New Roman"/>
          <w:vertAlign w:val="superscript"/>
        </w:rPr>
        <w:footnoteReference w:id="3"/>
      </w:r>
      <w:r w:rsidRPr="00551989">
        <w:rPr>
          <w:rFonts w:ascii="Times New Roman" w:hAnsi="Times New Roman"/>
        </w:rPr>
        <w:t xml:space="preserve"> </w:t>
      </w:r>
      <w:r>
        <w:rPr>
          <w:rFonts w:ascii="Times New Roman" w:hAnsi="Times New Roman"/>
        </w:rPr>
        <w:t xml:space="preserve">  Before enactment of the ACA, HHS </w:t>
      </w:r>
      <w:r w:rsidRPr="00551989">
        <w:rPr>
          <w:rFonts w:ascii="Times New Roman" w:hAnsi="Times New Roman"/>
        </w:rPr>
        <w:t>recognize</w:t>
      </w:r>
      <w:r>
        <w:rPr>
          <w:rFonts w:ascii="Times New Roman" w:hAnsi="Times New Roman"/>
        </w:rPr>
        <w:t>d that requests for information that are</w:t>
      </w:r>
      <w:r w:rsidRPr="00551989">
        <w:rPr>
          <w:rFonts w:ascii="Times New Roman" w:hAnsi="Times New Roman"/>
        </w:rPr>
        <w:t xml:space="preserve"> </w:t>
      </w:r>
      <w:r>
        <w:rPr>
          <w:rFonts w:ascii="Times New Roman" w:hAnsi="Times New Roman"/>
        </w:rPr>
        <w:t xml:space="preserve">not carefully designed to avoid unnecessary requests </w:t>
      </w:r>
      <w:r w:rsidRPr="00551989">
        <w:rPr>
          <w:rFonts w:ascii="Times New Roman" w:hAnsi="Times New Roman"/>
        </w:rPr>
        <w:t xml:space="preserve">and to </w:t>
      </w:r>
      <w:r>
        <w:rPr>
          <w:rFonts w:ascii="Times New Roman" w:hAnsi="Times New Roman"/>
        </w:rPr>
        <w:t xml:space="preserve">provide assurances </w:t>
      </w:r>
      <w:r w:rsidRPr="00551989">
        <w:rPr>
          <w:rFonts w:ascii="Times New Roman" w:hAnsi="Times New Roman"/>
        </w:rPr>
        <w:t xml:space="preserve">of confidentiality may discourage individuals from accessing coverage because of fear of immigration enforcement </w:t>
      </w:r>
      <w:r>
        <w:rPr>
          <w:rFonts w:ascii="Times New Roman" w:hAnsi="Times New Roman"/>
        </w:rPr>
        <w:t>consequences for them or their family members</w:t>
      </w:r>
      <w:r w:rsidRPr="00551989">
        <w:rPr>
          <w:rFonts w:ascii="Times New Roman" w:hAnsi="Times New Roman"/>
        </w:rPr>
        <w:t>.</w:t>
      </w:r>
      <w:r w:rsidRPr="00551989">
        <w:rPr>
          <w:rFonts w:ascii="Times New Roman" w:hAnsi="Times New Roman"/>
          <w:vertAlign w:val="superscript"/>
        </w:rPr>
        <w:footnoteReference w:id="4"/>
      </w:r>
      <w:r>
        <w:rPr>
          <w:rFonts w:ascii="Times New Roman" w:hAnsi="Times New Roman"/>
        </w:rPr>
        <w:t xml:space="preserve">   </w:t>
      </w:r>
    </w:p>
    <w:p w14:paraId="77643B72" w14:textId="060BF320" w:rsidR="00CA5F28" w:rsidRDefault="00CA5F28" w:rsidP="00CA5F28">
      <w:pPr>
        <w:rPr>
          <w:rFonts w:ascii="Times New Roman" w:hAnsi="Times New Roman"/>
        </w:rPr>
      </w:pPr>
      <w:r>
        <w:rPr>
          <w:rFonts w:ascii="Times New Roman" w:hAnsi="Times New Roman"/>
        </w:rPr>
        <w:t xml:space="preserve">CCF is concerned about the omission in the NPRM of confidentiality protections around the reporting of PII of applicants and enrollees and their dependents.  Treasury rules include strong confidentiality protections in IRC §6103, yet the NPRM does not reference these protections in the context of employee and dependent data collection.  Such a reference would help to educate and incentivize reporting entities to avoid overreaching in collection of dependents’ PII, and we recommend that these protections be included.   </w:t>
      </w:r>
    </w:p>
    <w:p w14:paraId="0465B6B9" w14:textId="72F8CF5C" w:rsidR="00CA5F28" w:rsidRDefault="00CA5F28" w:rsidP="00CA5F28">
      <w:pPr>
        <w:rPr>
          <w:rFonts w:ascii="Times New Roman" w:hAnsi="Times New Roman"/>
          <w:b/>
        </w:rPr>
      </w:pPr>
      <w:r>
        <w:rPr>
          <w:rFonts w:ascii="Times New Roman" w:hAnsi="Times New Roman"/>
        </w:rPr>
        <w:t>In some cases the entity collecting the information will be the employer, not the insurer.  In these circumstances, immigrant concerns about confidentiality are heightened.  It is important to protect employees and their mixed-status families from employers who would draw inferences about immigration status from the unavailability of a TIN for a covered individual.  It is important for employers to know clearly that the absence of a TIN for a covered individual does not constitute constructive knowledge of an immigration violation, and does not incur any immigration enforcement duty.</w:t>
      </w:r>
      <w:r w:rsidRPr="002E1DA9">
        <w:rPr>
          <w:rStyle w:val="FootnoteReference"/>
          <w:rFonts w:ascii="Times New Roman" w:hAnsi="Times New Roman"/>
        </w:rPr>
        <w:t xml:space="preserve"> </w:t>
      </w:r>
      <w:r>
        <w:rPr>
          <w:rStyle w:val="FootnoteReference"/>
          <w:rFonts w:ascii="Times New Roman" w:hAnsi="Times New Roman"/>
        </w:rPr>
        <w:footnoteReference w:id="5"/>
      </w:r>
      <w:r>
        <w:rPr>
          <w:rFonts w:ascii="Times New Roman" w:hAnsi="Times New Roman"/>
        </w:rPr>
        <w:t xml:space="preserve">  Thus, it would help to facilitate the intended purposes of §6055 reporting if the final rules include specific language concerning confidentiality and protections for both employers and employees against the use of any information for purposes of constructive notice of immigration status as it pertains to possible unlawful employment. </w:t>
      </w:r>
    </w:p>
    <w:p w14:paraId="503A54AC" w14:textId="1811B8C9" w:rsidR="00CA5F28" w:rsidRDefault="00CA5F28" w:rsidP="00CA5F28">
      <w:pPr>
        <w:numPr>
          <w:ilvl w:val="0"/>
          <w:numId w:val="3"/>
        </w:numPr>
        <w:spacing w:after="0"/>
        <w:rPr>
          <w:rFonts w:ascii="Times New Roman" w:hAnsi="Times New Roman"/>
        </w:rPr>
      </w:pPr>
      <w:r>
        <w:rPr>
          <w:rFonts w:ascii="Times New Roman" w:hAnsi="Times New Roman"/>
          <w:b/>
        </w:rPr>
        <w:t>We support alternative reporting by entities of the covered individual’s DOB if a TIN is not available.</w:t>
      </w:r>
    </w:p>
    <w:p w14:paraId="7AEABBE0" w14:textId="77777777" w:rsidR="00CA5F28" w:rsidRPr="00CA5F28" w:rsidRDefault="00CA5F28" w:rsidP="00CA5F28">
      <w:pPr>
        <w:spacing w:after="0"/>
        <w:ind w:left="720"/>
        <w:rPr>
          <w:rFonts w:ascii="Times New Roman" w:hAnsi="Times New Roman"/>
        </w:rPr>
      </w:pPr>
    </w:p>
    <w:p w14:paraId="71042F8B" w14:textId="374FB139" w:rsidR="00CA5F28" w:rsidRDefault="00CA5F28" w:rsidP="00CA5F28">
      <w:pPr>
        <w:numPr>
          <w:ilvl w:val="0"/>
          <w:numId w:val="3"/>
        </w:numPr>
        <w:spacing w:after="0"/>
        <w:rPr>
          <w:rFonts w:ascii="Times New Roman" w:hAnsi="Times New Roman"/>
          <w:b/>
        </w:rPr>
      </w:pPr>
      <w:r w:rsidRPr="00176F6D">
        <w:rPr>
          <w:rFonts w:ascii="Times New Roman" w:hAnsi="Times New Roman"/>
          <w:b/>
        </w:rPr>
        <w:t xml:space="preserve">Recommendation:  </w:t>
      </w:r>
      <w:r>
        <w:rPr>
          <w:rFonts w:ascii="Times New Roman" w:hAnsi="Times New Roman"/>
          <w:b/>
        </w:rPr>
        <w:t>Develop sub-regulatory guidance clarifying</w:t>
      </w:r>
      <w:r w:rsidRPr="00176F6D">
        <w:rPr>
          <w:rFonts w:ascii="Times New Roman" w:hAnsi="Times New Roman"/>
          <w:b/>
        </w:rPr>
        <w:t xml:space="preserve"> </w:t>
      </w:r>
      <w:r>
        <w:rPr>
          <w:rFonts w:ascii="Times New Roman" w:hAnsi="Times New Roman"/>
          <w:b/>
        </w:rPr>
        <w:t>for reporting entities</w:t>
      </w:r>
      <w:r w:rsidRPr="00176F6D">
        <w:rPr>
          <w:rFonts w:ascii="Times New Roman" w:hAnsi="Times New Roman"/>
          <w:b/>
        </w:rPr>
        <w:t xml:space="preserve"> that </w:t>
      </w:r>
      <w:r>
        <w:rPr>
          <w:rFonts w:ascii="Times New Roman" w:hAnsi="Times New Roman"/>
          <w:b/>
        </w:rPr>
        <w:t>TINs are not available to all covered individuals, and th</w:t>
      </w:r>
      <w:r w:rsidRPr="00176F6D">
        <w:rPr>
          <w:rFonts w:ascii="Times New Roman" w:hAnsi="Times New Roman"/>
          <w:b/>
        </w:rPr>
        <w:t xml:space="preserve">at </w:t>
      </w:r>
      <w:r>
        <w:rPr>
          <w:rFonts w:ascii="Times New Roman" w:hAnsi="Times New Roman"/>
          <w:b/>
        </w:rPr>
        <w:t xml:space="preserve">the alternative </w:t>
      </w:r>
      <w:r w:rsidRPr="00176F6D">
        <w:rPr>
          <w:rFonts w:ascii="Times New Roman" w:hAnsi="Times New Roman"/>
          <w:b/>
        </w:rPr>
        <w:t xml:space="preserve">use of </w:t>
      </w:r>
      <w:r>
        <w:rPr>
          <w:rFonts w:ascii="Times New Roman" w:hAnsi="Times New Roman"/>
          <w:b/>
        </w:rPr>
        <w:t>a</w:t>
      </w:r>
      <w:r w:rsidRPr="00176F6D">
        <w:rPr>
          <w:rFonts w:ascii="Times New Roman" w:hAnsi="Times New Roman"/>
          <w:b/>
        </w:rPr>
        <w:t xml:space="preserve"> DOB for reporting is </w:t>
      </w:r>
      <w:r>
        <w:rPr>
          <w:rFonts w:ascii="Times New Roman" w:hAnsi="Times New Roman"/>
          <w:b/>
        </w:rPr>
        <w:t>both</w:t>
      </w:r>
      <w:r w:rsidRPr="00176F6D">
        <w:rPr>
          <w:rFonts w:ascii="Times New Roman" w:hAnsi="Times New Roman"/>
          <w:b/>
        </w:rPr>
        <w:t xml:space="preserve"> </w:t>
      </w:r>
      <w:r>
        <w:rPr>
          <w:rFonts w:ascii="Times New Roman" w:hAnsi="Times New Roman"/>
          <w:b/>
        </w:rPr>
        <w:t xml:space="preserve">necessary and </w:t>
      </w:r>
      <w:r w:rsidRPr="00176F6D">
        <w:rPr>
          <w:rFonts w:ascii="Times New Roman" w:hAnsi="Times New Roman"/>
          <w:b/>
        </w:rPr>
        <w:t xml:space="preserve">acceptable when a TIN is not available.  </w:t>
      </w:r>
    </w:p>
    <w:p w14:paraId="074E96CD" w14:textId="77777777" w:rsidR="00CA5F28" w:rsidRPr="00CA5F28" w:rsidRDefault="00CA5F28" w:rsidP="00CA5F28">
      <w:pPr>
        <w:spacing w:after="0"/>
        <w:rPr>
          <w:rFonts w:ascii="Times New Roman" w:hAnsi="Times New Roman"/>
          <w:b/>
        </w:rPr>
      </w:pPr>
    </w:p>
    <w:p w14:paraId="5B3F8550" w14:textId="4152CC58" w:rsidR="00CA5F28" w:rsidRDefault="00CA5F28" w:rsidP="00CA5F28">
      <w:pPr>
        <w:numPr>
          <w:ilvl w:val="0"/>
          <w:numId w:val="3"/>
        </w:numPr>
        <w:spacing w:after="0"/>
        <w:rPr>
          <w:rFonts w:ascii="Times New Roman" w:hAnsi="Times New Roman"/>
          <w:b/>
        </w:rPr>
      </w:pPr>
      <w:r>
        <w:rPr>
          <w:rFonts w:ascii="Times New Roman" w:hAnsi="Times New Roman"/>
          <w:b/>
        </w:rPr>
        <w:t xml:space="preserve">Recommendation:  Develop sub-regulatory guidance to clarify the standard for making a reasonable effort to obtain a TIN, establishing that the reporting entity acts responsibly in attempting to solicit a TIN and makes a reasonable effort to obtain the TIN when, after an initial, unsuccessful request for a TIN (for example, at the time of enrollment), the entity makes another solicitation for the TIN before the end of the following calendar year. </w:t>
      </w:r>
    </w:p>
    <w:p w14:paraId="207617B9" w14:textId="77777777" w:rsidR="00CA5F28" w:rsidRPr="00CA5F28" w:rsidRDefault="00CA5F28" w:rsidP="00CA5F28">
      <w:pPr>
        <w:spacing w:after="0"/>
        <w:rPr>
          <w:rFonts w:ascii="Times New Roman" w:hAnsi="Times New Roman"/>
          <w:b/>
        </w:rPr>
      </w:pPr>
    </w:p>
    <w:p w14:paraId="6BBB500A" w14:textId="6EEA0236" w:rsidR="00CA5F28" w:rsidRDefault="00CA5F28" w:rsidP="00CA5F28">
      <w:pPr>
        <w:numPr>
          <w:ilvl w:val="0"/>
          <w:numId w:val="3"/>
        </w:numPr>
        <w:spacing w:after="0"/>
        <w:rPr>
          <w:rFonts w:ascii="Times New Roman" w:hAnsi="Times New Roman"/>
        </w:rPr>
      </w:pPr>
      <w:r>
        <w:rPr>
          <w:rFonts w:ascii="Times New Roman" w:hAnsi="Times New Roman"/>
          <w:b/>
        </w:rPr>
        <w:t>Recommendation:  Amend §1.6055-1 to add language from the preamble at 54990 providing for a waiver of penalties under 26 U.S.C. §§6721-6722 for reporting entities that make reasonable efforts to collect TINs but do not receive them.</w:t>
      </w:r>
    </w:p>
    <w:p w14:paraId="2263B486" w14:textId="77777777" w:rsidR="00CA5F28" w:rsidRPr="00CA5F28" w:rsidRDefault="00CA5F28" w:rsidP="00CA5F28">
      <w:pPr>
        <w:spacing w:after="0"/>
        <w:rPr>
          <w:rFonts w:ascii="Times New Roman" w:hAnsi="Times New Roman"/>
        </w:rPr>
      </w:pPr>
    </w:p>
    <w:p w14:paraId="24648DF9" w14:textId="5FEF14B3" w:rsidR="00CA5F28" w:rsidRDefault="00CA5F28" w:rsidP="00CA5F28">
      <w:pPr>
        <w:numPr>
          <w:ilvl w:val="0"/>
          <w:numId w:val="3"/>
        </w:numPr>
        <w:spacing w:after="0"/>
        <w:rPr>
          <w:rFonts w:ascii="Times New Roman" w:hAnsi="Times New Roman"/>
        </w:rPr>
      </w:pPr>
      <w:r w:rsidRPr="00BA2FF4">
        <w:rPr>
          <w:rFonts w:ascii="Times New Roman" w:hAnsi="Times New Roman"/>
          <w:b/>
        </w:rPr>
        <w:t xml:space="preserve">Recommendation:  Amend §1.6055.1 to add that the collection, use, and disclosure of information collected under ACA §1502 is:  (1)  subject to the confidentiality protections of IRC §6103, (2) subject to privacy protections consistent with 45 C.F.R. §155.260.  </w:t>
      </w:r>
    </w:p>
    <w:p w14:paraId="71F9EE9E" w14:textId="77777777" w:rsidR="00CA5F28" w:rsidRPr="00CA5F28" w:rsidRDefault="00CA5F28" w:rsidP="00CA5F28">
      <w:pPr>
        <w:spacing w:after="0"/>
        <w:rPr>
          <w:rFonts w:ascii="Times New Roman" w:hAnsi="Times New Roman"/>
        </w:rPr>
      </w:pPr>
    </w:p>
    <w:p w14:paraId="6F6B59DC" w14:textId="6FBEE203" w:rsidR="00CA5F28" w:rsidRDefault="00CA5F28" w:rsidP="00CA5F28">
      <w:pPr>
        <w:numPr>
          <w:ilvl w:val="0"/>
          <w:numId w:val="3"/>
        </w:numPr>
        <w:spacing w:after="0"/>
      </w:pPr>
      <w:r w:rsidRPr="00176F6D">
        <w:rPr>
          <w:rFonts w:ascii="Times New Roman" w:hAnsi="Times New Roman"/>
          <w:b/>
        </w:rPr>
        <w:t xml:space="preserve">Recommendation:  </w:t>
      </w:r>
      <w:r>
        <w:rPr>
          <w:rFonts w:ascii="Times New Roman" w:hAnsi="Times New Roman"/>
          <w:b/>
        </w:rPr>
        <w:t>A</w:t>
      </w:r>
      <w:r w:rsidRPr="00176F6D">
        <w:rPr>
          <w:rFonts w:ascii="Times New Roman" w:hAnsi="Times New Roman"/>
          <w:b/>
        </w:rPr>
        <w:t>dd a safe harbor protection that prohibits employers from using information obtained for constructive knowledge of unlawful status or unauthorized employment.</w:t>
      </w:r>
      <w:r w:rsidRPr="00176F6D">
        <w:rPr>
          <w:rFonts w:ascii="Times New Roman" w:hAnsi="Times New Roman"/>
        </w:rPr>
        <w:t xml:space="preserve">  </w:t>
      </w:r>
    </w:p>
    <w:p w14:paraId="08F18FC5" w14:textId="77777777" w:rsidR="00CA5F28" w:rsidRPr="00CA5F28" w:rsidRDefault="00CA5F28" w:rsidP="00CA5F28">
      <w:pPr>
        <w:spacing w:after="0"/>
      </w:pPr>
    </w:p>
    <w:p w14:paraId="04633108" w14:textId="77777777" w:rsidR="00CA5F28" w:rsidRPr="00176F6D" w:rsidRDefault="00CA5F28" w:rsidP="00CA5F28">
      <w:pPr>
        <w:numPr>
          <w:ilvl w:val="0"/>
          <w:numId w:val="3"/>
        </w:numPr>
        <w:spacing w:after="0"/>
        <w:rPr>
          <w:rFonts w:ascii="Times New Roman" w:hAnsi="Times New Roman"/>
          <w:b/>
        </w:rPr>
      </w:pPr>
      <w:r>
        <w:rPr>
          <w:rFonts w:ascii="Times New Roman" w:hAnsi="Times New Roman"/>
          <w:b/>
        </w:rPr>
        <w:t xml:space="preserve">Recommendation:  </w:t>
      </w:r>
      <w:r w:rsidRPr="00176F6D">
        <w:rPr>
          <w:rFonts w:ascii="Times New Roman" w:hAnsi="Times New Roman"/>
          <w:b/>
        </w:rPr>
        <w:t>Amend §1.6055.1 to</w:t>
      </w:r>
      <w:r>
        <w:rPr>
          <w:rFonts w:ascii="Times New Roman" w:hAnsi="Times New Roman"/>
          <w:b/>
        </w:rPr>
        <w:t xml:space="preserve"> include</w:t>
      </w:r>
      <w:r w:rsidRPr="00176F6D">
        <w:rPr>
          <w:rFonts w:ascii="Times New Roman" w:hAnsi="Times New Roman"/>
          <w:b/>
        </w:rPr>
        <w:t xml:space="preserve"> language consistent with 45 C.F.R. </w:t>
      </w:r>
      <w:r>
        <w:rPr>
          <w:rFonts w:ascii="Times New Roman" w:hAnsi="Times New Roman"/>
          <w:b/>
        </w:rPr>
        <w:t>§</w:t>
      </w:r>
      <w:r w:rsidRPr="00176F6D">
        <w:rPr>
          <w:rFonts w:ascii="Times New Roman" w:hAnsi="Times New Roman"/>
          <w:b/>
        </w:rPr>
        <w:t>155.715(c)(4)</w:t>
      </w:r>
      <w:r>
        <w:rPr>
          <w:rFonts w:ascii="Times New Roman" w:hAnsi="Times New Roman"/>
          <w:b/>
        </w:rPr>
        <w:t xml:space="preserve"> (</w:t>
      </w:r>
      <w:r w:rsidRPr="00176F6D">
        <w:rPr>
          <w:rFonts w:ascii="Times New Roman" w:hAnsi="Times New Roman"/>
          <w:b/>
        </w:rPr>
        <w:t>pertaining to verification of information by SHOP exchanges</w:t>
      </w:r>
      <w:r>
        <w:rPr>
          <w:rFonts w:ascii="Times New Roman" w:hAnsi="Times New Roman"/>
          <w:b/>
        </w:rPr>
        <w:t>)</w:t>
      </w:r>
      <w:r w:rsidRPr="00176F6D">
        <w:rPr>
          <w:rFonts w:ascii="Times New Roman" w:hAnsi="Times New Roman"/>
          <w:b/>
        </w:rPr>
        <w:t xml:space="preserve"> to prohibit information collected from employees or employers from being used </w:t>
      </w:r>
      <w:r>
        <w:rPr>
          <w:rFonts w:ascii="Times New Roman" w:hAnsi="Times New Roman"/>
          <w:b/>
        </w:rPr>
        <w:t>to verify, or draw inferences about,</w:t>
      </w:r>
      <w:r w:rsidRPr="00176F6D">
        <w:rPr>
          <w:rFonts w:ascii="Times New Roman" w:hAnsi="Times New Roman"/>
          <w:b/>
        </w:rPr>
        <w:t xml:space="preserve"> immigration status. </w:t>
      </w:r>
    </w:p>
    <w:p w14:paraId="39779E00" w14:textId="77777777" w:rsidR="00CA5F28" w:rsidRDefault="00CA5F28" w:rsidP="00CA5F28">
      <w:pPr>
        <w:rPr>
          <w:rFonts w:ascii="Times New Roman" w:hAnsi="Times New Roman"/>
        </w:rPr>
      </w:pPr>
    </w:p>
    <w:p w14:paraId="3CF54157" w14:textId="77777777" w:rsidR="00CA5F28" w:rsidRDefault="00CA5F28" w:rsidP="00CA5F28">
      <w:r>
        <w:t xml:space="preserve">Thank you for your consideration of these comments and recommendations.  For additional information, please contact Dinah Wiley at </w:t>
      </w:r>
      <w:hyperlink r:id="rId10" w:history="1">
        <w:r w:rsidRPr="00CC71E7">
          <w:rPr>
            <w:rStyle w:val="Hyperlink"/>
          </w:rPr>
          <w:t>dw688@georgetown.edu</w:t>
        </w:r>
      </w:hyperlink>
      <w:r>
        <w:t>.</w:t>
      </w:r>
    </w:p>
    <w:p w14:paraId="27D86A31" w14:textId="77777777" w:rsidR="00CA5F28" w:rsidRDefault="00CA5F28" w:rsidP="00CA5F28"/>
    <w:p w14:paraId="346EAD7F" w14:textId="77777777" w:rsidR="00CA5F28" w:rsidRDefault="00CA5F28" w:rsidP="00CA5F28">
      <w:r>
        <w:t>Sincerely,</w:t>
      </w:r>
    </w:p>
    <w:p w14:paraId="1502B6DC" w14:textId="77777777" w:rsidR="00CA5F28" w:rsidRDefault="00CA5F28" w:rsidP="00CA5F28"/>
    <w:p w14:paraId="242DC19B" w14:textId="77777777" w:rsidR="00CA5F28" w:rsidRDefault="00CA5F28" w:rsidP="00CA5F28">
      <w:r>
        <w:t>Georgetown University Center for Children and Families</w:t>
      </w:r>
    </w:p>
    <w:p w14:paraId="3C1D1E73" w14:textId="3FB700B4" w:rsidR="001F0342" w:rsidRDefault="001F0342" w:rsidP="00CA5F28">
      <w:pPr>
        <w:spacing w:after="0"/>
      </w:pPr>
    </w:p>
    <w:sectPr w:rsidR="001F0342" w:rsidSect="008F2075">
      <w:footerReference w:type="even" r:id="rId11"/>
      <w:footerReference w:type="defaul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75D7" w14:textId="77777777" w:rsidR="00B6590E" w:rsidRDefault="00B6590E" w:rsidP="001F0342">
      <w:pPr>
        <w:spacing w:after="0"/>
      </w:pPr>
      <w:r>
        <w:separator/>
      </w:r>
    </w:p>
  </w:endnote>
  <w:endnote w:type="continuationSeparator" w:id="0">
    <w:p w14:paraId="04D1BF25" w14:textId="77777777" w:rsidR="00B6590E" w:rsidRDefault="00B6590E"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otham-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B8DA" w14:textId="77777777" w:rsidR="00A262DF" w:rsidRDefault="00A262DF" w:rsidP="008F2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F5E3B" w14:textId="77777777" w:rsidR="00A262DF" w:rsidRDefault="00A262DF"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ACD7" w14:textId="77777777" w:rsidR="008F2075" w:rsidRDefault="008F2075" w:rsidP="00605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CFC">
      <w:rPr>
        <w:rStyle w:val="PageNumber"/>
        <w:noProof/>
      </w:rPr>
      <w:t>5</w:t>
    </w:r>
    <w:r>
      <w:rPr>
        <w:rStyle w:val="PageNumber"/>
      </w:rPr>
      <w:fldChar w:fldCharType="end"/>
    </w:r>
  </w:p>
  <w:p w14:paraId="39991806" w14:textId="77777777" w:rsidR="00A262DF" w:rsidRDefault="00A262DF" w:rsidP="001F03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A4C6" w14:textId="77777777" w:rsidR="008F2075" w:rsidRPr="00941992" w:rsidRDefault="008F2075" w:rsidP="008F2075">
    <w:pPr>
      <w:spacing w:before="120" w:after="0"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Box 57144  3300 Whitehaven Street, N.W.  Suite 5000  Washington, DC  20057</w:t>
    </w:r>
  </w:p>
  <w:p w14:paraId="78A2F234" w14:textId="77777777" w:rsidR="008F2075" w:rsidRPr="00941992" w:rsidRDefault="008F2075" w:rsidP="008F2075">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T 202.687.0880  F 202.687.3110  E Childhealth@georgetown.edu</w:t>
    </w:r>
  </w:p>
  <w:p w14:paraId="384FA684" w14:textId="77777777" w:rsidR="008F2075" w:rsidRDefault="008F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B10" w14:textId="77777777" w:rsidR="00B6590E" w:rsidRDefault="00B6590E" w:rsidP="001F0342">
      <w:pPr>
        <w:spacing w:after="0"/>
      </w:pPr>
      <w:r>
        <w:separator/>
      </w:r>
    </w:p>
  </w:footnote>
  <w:footnote w:type="continuationSeparator" w:id="0">
    <w:p w14:paraId="078AA380" w14:textId="77777777" w:rsidR="00B6590E" w:rsidRDefault="00B6590E" w:rsidP="001F0342">
      <w:pPr>
        <w:spacing w:after="0"/>
      </w:pPr>
      <w:r>
        <w:continuationSeparator/>
      </w:r>
    </w:p>
  </w:footnote>
  <w:footnote w:id="1">
    <w:p w14:paraId="0A692D2E" w14:textId="77777777" w:rsidR="00CA5F28" w:rsidRPr="00837A0E" w:rsidRDefault="00CA5F28" w:rsidP="00CA5F28">
      <w:pPr>
        <w:pStyle w:val="FootnoteText"/>
        <w:rPr>
          <w:rFonts w:ascii="Times New Roman" w:hAnsi="Times New Roman"/>
        </w:rPr>
      </w:pPr>
      <w:r w:rsidRPr="00837A0E">
        <w:rPr>
          <w:rStyle w:val="FootnoteReference"/>
          <w:rFonts w:ascii="Times New Roman" w:hAnsi="Times New Roman"/>
        </w:rPr>
        <w:footnoteRef/>
      </w:r>
      <w:r w:rsidRPr="00837A0E">
        <w:rPr>
          <w:rFonts w:ascii="Times New Roman" w:hAnsi="Times New Roman"/>
        </w:rPr>
        <w:t xml:space="preserve"> </w:t>
      </w:r>
      <w:r w:rsidRPr="00837A0E">
        <w:rPr>
          <w:rFonts w:ascii="Times New Roman" w:hAnsi="Times New Roman"/>
          <w:i/>
        </w:rPr>
        <w:t>Revised Application Standards</w:t>
      </w:r>
      <w:r w:rsidRPr="00837A0E">
        <w:rPr>
          <w:rFonts w:ascii="Times New Roman" w:hAnsi="Times New Roman"/>
        </w:rPr>
        <w:t>, IRS, March 19, 2013, http://www.irs.gov/Individuals/Revised-Application-Standards-for-ITINs.</w:t>
      </w:r>
    </w:p>
  </w:footnote>
  <w:footnote w:id="2">
    <w:p w14:paraId="7FF6F754" w14:textId="77777777" w:rsidR="00CA5F28" w:rsidRPr="00837A0E" w:rsidRDefault="00CA5F28" w:rsidP="00CA5F28">
      <w:pPr>
        <w:pStyle w:val="FootnoteText"/>
        <w:rPr>
          <w:rFonts w:ascii="Times New Roman" w:hAnsi="Times New Roman"/>
        </w:rPr>
      </w:pPr>
      <w:r w:rsidRPr="00837A0E">
        <w:rPr>
          <w:rStyle w:val="FootnoteReference"/>
          <w:rFonts w:ascii="Times New Roman" w:hAnsi="Times New Roman"/>
        </w:rPr>
        <w:footnoteRef/>
      </w:r>
      <w:r w:rsidRPr="00837A0E">
        <w:rPr>
          <w:rFonts w:ascii="Times New Roman" w:hAnsi="Times New Roman"/>
        </w:rPr>
        <w:t xml:space="preserve"> Pub. L. 111-148, § 1411(g), 124 Stat. 119, 230 (2010) [hereinafter ACA]. </w:t>
      </w:r>
      <w:r w:rsidRPr="00837A0E">
        <w:rPr>
          <w:rFonts w:ascii="Times New Roman" w:hAnsi="Times New Roman"/>
          <w:i/>
        </w:rPr>
        <w:t>See also</w:t>
      </w:r>
      <w:r w:rsidRPr="00837A0E">
        <w:rPr>
          <w:rFonts w:ascii="Times New Roman" w:hAnsi="Times New Roman"/>
        </w:rPr>
        <w:t xml:space="preserve"> 45 C.F.R. § 155.715 (2012)(c)(3) (requiring that SHOP exchanges only collect the “minimum information necessary for verification of eligibility.” </w:t>
      </w:r>
    </w:p>
  </w:footnote>
  <w:footnote w:id="3">
    <w:p w14:paraId="407B4581" w14:textId="77777777" w:rsidR="00CA5F28" w:rsidRPr="00837A0E" w:rsidRDefault="00CA5F28" w:rsidP="00CA5F28">
      <w:pPr>
        <w:pStyle w:val="FootnoteText"/>
        <w:rPr>
          <w:rFonts w:ascii="Times New Roman" w:hAnsi="Times New Roman"/>
        </w:rPr>
      </w:pPr>
      <w:r w:rsidRPr="00837A0E">
        <w:rPr>
          <w:rStyle w:val="FootnoteReference"/>
          <w:rFonts w:ascii="Times New Roman" w:hAnsi="Times New Roman"/>
        </w:rPr>
        <w:footnoteRef/>
      </w:r>
      <w:r w:rsidRPr="00837A0E">
        <w:rPr>
          <w:rFonts w:ascii="Times New Roman" w:hAnsi="Times New Roman"/>
        </w:rPr>
        <w:t xml:space="preserve"> </w:t>
      </w:r>
      <w:r w:rsidRPr="00837A0E">
        <w:rPr>
          <w:rFonts w:ascii="Times New Roman" w:hAnsi="Times New Roman"/>
          <w:i/>
        </w:rPr>
        <w:t>Id.</w:t>
      </w:r>
      <w:r w:rsidRPr="00837A0E">
        <w:rPr>
          <w:rFonts w:ascii="Times New Roman" w:hAnsi="Times New Roman"/>
        </w:rPr>
        <w:t xml:space="preserve"> § 1414(a). </w:t>
      </w:r>
      <w:r w:rsidRPr="00837A0E">
        <w:rPr>
          <w:rFonts w:ascii="Times New Roman" w:hAnsi="Times New Roman"/>
          <w:i/>
        </w:rPr>
        <w:t>See also</w:t>
      </w:r>
      <w:r w:rsidRPr="00837A0E">
        <w:rPr>
          <w:rFonts w:ascii="Times New Roman" w:hAnsi="Times New Roman"/>
        </w:rPr>
        <w:t xml:space="preserve"> 45 C.F.R. §§ 155.260, 155.270 (requiring that Exchanges and entities contracted with Exchanges follow restrictions that “Personally identifiable information should be created, collected, used, and/or disclosed only to the extent necessary to accomplish a specified purpose(s) and never to discriminate inappropriately.”)</w:t>
      </w:r>
    </w:p>
  </w:footnote>
  <w:footnote w:id="4">
    <w:p w14:paraId="54264698" w14:textId="77777777" w:rsidR="00CA5F28" w:rsidRPr="00837A0E" w:rsidRDefault="00CA5F28" w:rsidP="00CA5F28">
      <w:pPr>
        <w:pStyle w:val="FootnoteText"/>
        <w:rPr>
          <w:rFonts w:ascii="Times New Roman" w:hAnsi="Times New Roman"/>
        </w:rPr>
      </w:pPr>
      <w:r w:rsidRPr="00837A0E">
        <w:rPr>
          <w:rStyle w:val="FootnoteReference"/>
          <w:rFonts w:ascii="Times New Roman" w:hAnsi="Times New Roman"/>
        </w:rPr>
        <w:footnoteRef/>
      </w:r>
      <w:r w:rsidRPr="00837A0E">
        <w:rPr>
          <w:rFonts w:ascii="Times New Roman" w:hAnsi="Times New Roman"/>
        </w:rPr>
        <w:t xml:space="preserve"> </w:t>
      </w:r>
      <w:r w:rsidRPr="00837A0E">
        <w:rPr>
          <w:rFonts w:ascii="Times New Roman" w:hAnsi="Times New Roman"/>
          <w:smallCaps/>
        </w:rPr>
        <w:t>Dept. Health and Human Services and Department of Agriculture, Policy Guidelines Regarding Inquiries into Citizenship, Immigration Status and Social Security Numbers in State Application</w:t>
      </w:r>
      <w:r>
        <w:rPr>
          <w:rFonts w:ascii="Times New Roman" w:hAnsi="Times New Roman"/>
          <w:smallCaps/>
        </w:rPr>
        <w:t>s</w:t>
      </w:r>
      <w:r w:rsidRPr="00837A0E">
        <w:rPr>
          <w:rFonts w:ascii="Times New Roman" w:hAnsi="Times New Roman"/>
          <w:smallCaps/>
        </w:rPr>
        <w:t xml:space="preserve"> for Medicaid, State Children’s Insurance Program (SCHIP), Temporary Assistance for Needy Families (TANF), and Food Stamp Benefits.</w:t>
      </w:r>
    </w:p>
  </w:footnote>
  <w:footnote w:id="5">
    <w:p w14:paraId="5B6F222A" w14:textId="77777777" w:rsidR="00CA5F28" w:rsidRPr="00837A0E" w:rsidRDefault="00CA5F28" w:rsidP="00CA5F28">
      <w:pPr>
        <w:pStyle w:val="FootnoteText"/>
        <w:rPr>
          <w:rFonts w:ascii="Times New Roman" w:hAnsi="Times New Roman"/>
        </w:rPr>
      </w:pPr>
      <w:r w:rsidRPr="00837A0E">
        <w:rPr>
          <w:rStyle w:val="FootnoteReference"/>
          <w:rFonts w:ascii="Times New Roman" w:hAnsi="Times New Roman"/>
        </w:rPr>
        <w:footnoteRef/>
      </w:r>
      <w:r w:rsidRPr="00837A0E">
        <w:rPr>
          <w:rFonts w:ascii="Times New Roman" w:hAnsi="Times New Roman"/>
        </w:rPr>
        <w:t xml:space="preserve"> </w:t>
      </w:r>
      <w:r w:rsidRPr="00837A0E">
        <w:rPr>
          <w:rFonts w:ascii="Times New Roman" w:hAnsi="Times New Roman"/>
          <w:i/>
        </w:rPr>
        <w:t>See</w:t>
      </w:r>
      <w:r>
        <w:rPr>
          <w:rFonts w:ascii="Times New Roman" w:hAnsi="Times New Roman"/>
        </w:rPr>
        <w:t xml:space="preserve"> 8 U.S.C. §</w:t>
      </w:r>
      <w:r w:rsidRPr="00837A0E">
        <w:rPr>
          <w:rFonts w:ascii="Times New Roman" w:hAnsi="Times New Roman"/>
        </w:rPr>
        <w:t>1324(a)(1)–(2) (stating it is unlawful for an employer to hire or continue to employ an individual “knowing” the individu</w:t>
      </w:r>
      <w:r>
        <w:rPr>
          <w:rFonts w:ascii="Times New Roman" w:hAnsi="Times New Roman"/>
        </w:rPr>
        <w:t>al is unauthorized); 8 C.F.R. §</w:t>
      </w:r>
      <w:r w:rsidRPr="00837A0E">
        <w:rPr>
          <w:rFonts w:ascii="Times New Roman" w:hAnsi="Times New Roman"/>
        </w:rPr>
        <w:t xml:space="preserve">274a.1(l)(1) (defining “knowing” as including “constructive knowledge” that is </w:t>
      </w:r>
      <w:r>
        <w:rPr>
          <w:rFonts w:ascii="Times New Roman" w:hAnsi="Times New Roman"/>
        </w:rPr>
        <w:t>i</w:t>
      </w:r>
      <w:r w:rsidRPr="00837A0E">
        <w:rPr>
          <w:rFonts w:ascii="Times New Roman" w:hAnsi="Times New Roman"/>
        </w:rPr>
        <w:t>nferred through notice of certain facts and circumstances which would lead a person, through the exercise of reasonable care, to know about a certain condition . .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B7E"/>
    <w:multiLevelType w:val="hybridMultilevel"/>
    <w:tmpl w:val="905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B459F"/>
    <w:multiLevelType w:val="hybridMultilevel"/>
    <w:tmpl w:val="5D0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08116F"/>
    <w:rsid w:val="000C4382"/>
    <w:rsid w:val="001507C2"/>
    <w:rsid w:val="001735C8"/>
    <w:rsid w:val="00197FB1"/>
    <w:rsid w:val="001C1580"/>
    <w:rsid w:val="001F0342"/>
    <w:rsid w:val="00261CFC"/>
    <w:rsid w:val="002651DB"/>
    <w:rsid w:val="0026526F"/>
    <w:rsid w:val="0035663D"/>
    <w:rsid w:val="003B08A5"/>
    <w:rsid w:val="00401BB7"/>
    <w:rsid w:val="0077238E"/>
    <w:rsid w:val="00783C07"/>
    <w:rsid w:val="00807F9E"/>
    <w:rsid w:val="00822D08"/>
    <w:rsid w:val="00825C80"/>
    <w:rsid w:val="008F2075"/>
    <w:rsid w:val="009253CD"/>
    <w:rsid w:val="009B70D4"/>
    <w:rsid w:val="009C2970"/>
    <w:rsid w:val="00A262DF"/>
    <w:rsid w:val="00A84804"/>
    <w:rsid w:val="00B6590E"/>
    <w:rsid w:val="00B776C5"/>
    <w:rsid w:val="00C43CA3"/>
    <w:rsid w:val="00CA5F28"/>
    <w:rsid w:val="00CF7FE8"/>
    <w:rsid w:val="00D501FF"/>
    <w:rsid w:val="00D50D1D"/>
    <w:rsid w:val="00D66A46"/>
    <w:rsid w:val="00D92D3A"/>
    <w:rsid w:val="00DF09C0"/>
    <w:rsid w:val="00E360B4"/>
    <w:rsid w:val="00EA1277"/>
    <w:rsid w:val="00EB7476"/>
    <w:rsid w:val="00ED1764"/>
    <w:rsid w:val="00F321ED"/>
    <w:rsid w:val="00FA34FB"/>
    <w:rsid w:val="00FC2EFA"/>
    <w:rsid w:val="00FD3764"/>
    <w:rsid w:val="00FD7290"/>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 w:type="paragraph" w:styleId="FootnoteText">
    <w:name w:val="footnote text"/>
    <w:basedOn w:val="Normal"/>
    <w:link w:val="FootnoteTextChar"/>
    <w:uiPriority w:val="99"/>
    <w:unhideWhenUsed/>
    <w:rsid w:val="00CA5F28"/>
    <w:pPr>
      <w:spacing w:after="0"/>
    </w:pPr>
    <w:rPr>
      <w:rFonts w:ascii="Cambria" w:eastAsia="MS Mincho" w:hAnsi="Cambria" w:cs="Times New Roman"/>
      <w:lang w:val="x-none" w:eastAsia="x-none"/>
    </w:rPr>
  </w:style>
  <w:style w:type="character" w:customStyle="1" w:styleId="FootnoteTextChar">
    <w:name w:val="Footnote Text Char"/>
    <w:basedOn w:val="DefaultParagraphFont"/>
    <w:link w:val="FootnoteText"/>
    <w:uiPriority w:val="99"/>
    <w:rsid w:val="00CA5F28"/>
    <w:rPr>
      <w:rFonts w:ascii="Cambria" w:eastAsia="MS Mincho" w:hAnsi="Cambria" w:cs="Times New Roman"/>
      <w:sz w:val="24"/>
      <w:szCs w:val="24"/>
      <w:lang w:val="x-none" w:eastAsia="x-none"/>
    </w:rPr>
  </w:style>
  <w:style w:type="character" w:styleId="FootnoteReference">
    <w:name w:val="footnote reference"/>
    <w:uiPriority w:val="99"/>
    <w:unhideWhenUsed/>
    <w:rsid w:val="00CA5F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 w:type="paragraph" w:styleId="FootnoteText">
    <w:name w:val="footnote text"/>
    <w:basedOn w:val="Normal"/>
    <w:link w:val="FootnoteTextChar"/>
    <w:uiPriority w:val="99"/>
    <w:unhideWhenUsed/>
    <w:rsid w:val="00CA5F28"/>
    <w:pPr>
      <w:spacing w:after="0"/>
    </w:pPr>
    <w:rPr>
      <w:rFonts w:ascii="Cambria" w:eastAsia="MS Mincho" w:hAnsi="Cambria" w:cs="Times New Roman"/>
      <w:lang w:val="x-none" w:eastAsia="x-none"/>
    </w:rPr>
  </w:style>
  <w:style w:type="character" w:customStyle="1" w:styleId="FootnoteTextChar">
    <w:name w:val="Footnote Text Char"/>
    <w:basedOn w:val="DefaultParagraphFont"/>
    <w:link w:val="FootnoteText"/>
    <w:uiPriority w:val="99"/>
    <w:rsid w:val="00CA5F28"/>
    <w:rPr>
      <w:rFonts w:ascii="Cambria" w:eastAsia="MS Mincho" w:hAnsi="Cambria" w:cs="Times New Roman"/>
      <w:sz w:val="24"/>
      <w:szCs w:val="24"/>
      <w:lang w:val="x-none" w:eastAsia="x-none"/>
    </w:rPr>
  </w:style>
  <w:style w:type="character" w:styleId="FootnoteReference">
    <w:name w:val="footnote reference"/>
    <w:uiPriority w:val="99"/>
    <w:unhideWhenUsed/>
    <w:rsid w:val="00CA5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481">
      <w:bodyDiv w:val="1"/>
      <w:marLeft w:val="0"/>
      <w:marRight w:val="0"/>
      <w:marTop w:val="0"/>
      <w:marBottom w:val="0"/>
      <w:divBdr>
        <w:top w:val="none" w:sz="0" w:space="0" w:color="auto"/>
        <w:left w:val="none" w:sz="0" w:space="0" w:color="auto"/>
        <w:bottom w:val="none" w:sz="0" w:space="0" w:color="auto"/>
        <w:right w:val="none" w:sz="0" w:space="0" w:color="auto"/>
      </w:divBdr>
    </w:div>
    <w:div w:id="914316587">
      <w:bodyDiv w:val="1"/>
      <w:marLeft w:val="0"/>
      <w:marRight w:val="0"/>
      <w:marTop w:val="0"/>
      <w:marBottom w:val="0"/>
      <w:divBdr>
        <w:top w:val="none" w:sz="0" w:space="0" w:color="auto"/>
        <w:left w:val="none" w:sz="0" w:space="0" w:color="auto"/>
        <w:bottom w:val="none" w:sz="0" w:space="0" w:color="auto"/>
        <w:right w:val="none" w:sz="0" w:space="0" w:color="auto"/>
      </w:divBdr>
    </w:div>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dw688@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2764-1DF7-8144-A04A-49890386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1514</Words>
  <Characters>8635</Characters>
  <Application>Microsoft Macintosh Word</Application>
  <DocSecurity>0</DocSecurity>
  <Lines>71</Lines>
  <Paragraphs>20</Paragraphs>
  <ScaleCrop>false</ScaleCrop>
  <Company>Georgetown University</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dc:description/>
  <cp:lastModifiedBy>Joseph Touschner</cp:lastModifiedBy>
  <cp:revision>3</cp:revision>
  <dcterms:created xsi:type="dcterms:W3CDTF">2013-11-08T19:38:00Z</dcterms:created>
  <dcterms:modified xsi:type="dcterms:W3CDTF">2013-11-08T21:29:00Z</dcterms:modified>
</cp:coreProperties>
</file>