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BE6D" w14:textId="63DB61A0" w:rsidR="009D395D" w:rsidRDefault="009D395D" w:rsidP="009D395D">
      <w:pPr>
        <w:jc w:val="center"/>
        <w:rPr>
          <w:rFonts w:ascii="Cambria" w:hAnsi="Cambria"/>
          <w:b/>
        </w:rPr>
      </w:pPr>
      <w:bookmarkStart w:id="0" w:name="_GoBack"/>
      <w:bookmarkEnd w:id="0"/>
      <w:r>
        <w:rPr>
          <w:rFonts w:ascii="Cambria" w:hAnsi="Cambria"/>
          <w:b/>
        </w:rPr>
        <w:t>COMMENTS ON PROPOSED NAVIGATOR AND ASSISTER RULES</w:t>
      </w:r>
    </w:p>
    <w:p w14:paraId="340DCAA3" w14:textId="422ABA7E" w:rsidR="009D395D" w:rsidRPr="009D395D" w:rsidRDefault="009D395D" w:rsidP="009D395D">
      <w:pPr>
        <w:jc w:val="center"/>
        <w:rPr>
          <w:rFonts w:ascii="Cambria" w:hAnsi="Cambria"/>
          <w:b/>
        </w:rPr>
      </w:pPr>
      <w:r>
        <w:rPr>
          <w:rFonts w:ascii="Cambria" w:hAnsi="Cambria"/>
          <w:b/>
        </w:rPr>
        <w:t>Georgetown Center for Children and Families</w:t>
      </w:r>
    </w:p>
    <w:p w14:paraId="17550782" w14:textId="77777777" w:rsidR="009D395D" w:rsidRDefault="009D395D">
      <w:pPr>
        <w:rPr>
          <w:rFonts w:ascii="Cambria" w:hAnsi="Cambria"/>
          <w:b/>
          <w:u w:val="single"/>
        </w:rPr>
      </w:pPr>
    </w:p>
    <w:p w14:paraId="5068AFBA" w14:textId="77777777" w:rsidR="00BE0E89" w:rsidRDefault="00BE0E89">
      <w:pPr>
        <w:rPr>
          <w:rFonts w:ascii="Cambria" w:hAnsi="Cambria"/>
          <w:b/>
          <w:u w:val="single"/>
        </w:rPr>
      </w:pPr>
    </w:p>
    <w:p w14:paraId="474C6D62" w14:textId="682F2F8F" w:rsidR="00BE0E89" w:rsidRPr="00E84305" w:rsidRDefault="00BE0E89" w:rsidP="00BE0E89">
      <w:pPr>
        <w:rPr>
          <w:b/>
        </w:rPr>
      </w:pPr>
      <w:r w:rsidRPr="00E84305">
        <w:rPr>
          <w:b/>
        </w:rPr>
        <w:t>§155.206</w:t>
      </w:r>
      <w:r w:rsidR="004961BD">
        <w:rPr>
          <w:b/>
        </w:rPr>
        <w:t xml:space="preserve"> </w:t>
      </w:r>
      <w:proofErr w:type="gramStart"/>
      <w:r>
        <w:rPr>
          <w:b/>
        </w:rPr>
        <w:t>Civil</w:t>
      </w:r>
      <w:proofErr w:type="gramEnd"/>
      <w:r>
        <w:rPr>
          <w:b/>
        </w:rPr>
        <w:t xml:space="preserve"> money penalties for violations of applicable Exchange standards by consumer assistance entities in Federally-facilitated Exchanges.</w:t>
      </w:r>
    </w:p>
    <w:p w14:paraId="5A0D15EE" w14:textId="77777777" w:rsidR="00BE0E89" w:rsidRDefault="00BE0E89" w:rsidP="00BE0E89">
      <w:pPr>
        <w:jc w:val="center"/>
        <w:rPr>
          <w:b/>
          <w:i/>
        </w:rPr>
      </w:pPr>
    </w:p>
    <w:p w14:paraId="430F2753" w14:textId="77777777" w:rsidR="00BE0E89" w:rsidRDefault="00BE0E89" w:rsidP="00BE0E89">
      <w:r>
        <w:t xml:space="preserve">We support the proposed rule on the application of civil money penalties (CMPs) for violations of applicable exchange standards by consumer assistance entities in the FFM.  We believe that the proposed rule strikes the balance in protecting consumers from inappropriate actions by Assisters while not being overly punitive and deterring Assisters from carrying out their responsibilities.  We strongly support giving Assisters the opportunity to agree to a corrective action plan in lieu of paying a penalty in appropriate cases.  </w:t>
      </w:r>
    </w:p>
    <w:p w14:paraId="37646927" w14:textId="77777777" w:rsidR="00BE0E89" w:rsidRDefault="00BE0E89" w:rsidP="00BE0E89">
      <w:pPr>
        <w:ind w:firstLine="216"/>
      </w:pPr>
    </w:p>
    <w:p w14:paraId="2222DA62" w14:textId="7EF145F8" w:rsidR="00BE0E89" w:rsidRDefault="00BE0E89" w:rsidP="00BE0E89">
      <w:r>
        <w:t>We recognize that this rule, as drafted, does not apply to assisters operating in states with state-based marketplace (SBMs) nor does it require SBMs to implement similar provisions. Because we are also recommending that §155.285 not apply to navigators and other assisters, we urge you to extend this rule to SMBs.</w:t>
      </w:r>
    </w:p>
    <w:p w14:paraId="2E209395" w14:textId="77777777" w:rsidR="00BE0E89" w:rsidRDefault="00BE0E89" w:rsidP="00BE0E89">
      <w:pPr>
        <w:ind w:firstLine="216"/>
      </w:pPr>
    </w:p>
    <w:p w14:paraId="21AE2A20" w14:textId="05D2F68F" w:rsidR="00BE0E89" w:rsidRDefault="00BE0E89" w:rsidP="00BE0E89">
      <w:r>
        <w:t xml:space="preserve">During the initial open enrollment, we note there were a number of manual “workarounds” to address system problems until fixes were possible. Because open enrollment was so busy, assisters may not have been well informed about these. We raise this point here because assisters should never be held responsible for catching errors that are due to problems in the way application questions are asked or how the information systems are determining eligibility.  We trust that CMS would factor in such complicating factors in the system design or operability before holding assisters accountable or entering into a corrective plan for issues beyond their control. </w:t>
      </w:r>
    </w:p>
    <w:p w14:paraId="6870EF50" w14:textId="77777777" w:rsidR="00BE0E89" w:rsidRDefault="00BE0E89" w:rsidP="00BE0E89"/>
    <w:p w14:paraId="01E19CE3" w14:textId="22DBDB43" w:rsidR="00BE0E89" w:rsidRPr="004961BD" w:rsidRDefault="004961BD" w:rsidP="004961BD">
      <w:pPr>
        <w:ind w:left="720"/>
        <w:rPr>
          <w:i/>
        </w:rPr>
      </w:pPr>
      <w:r>
        <w:rPr>
          <w:b/>
        </w:rPr>
        <w:t xml:space="preserve">Recommendation: </w:t>
      </w:r>
      <w:r>
        <w:rPr>
          <w:i/>
        </w:rPr>
        <w:t xml:space="preserve">Amend the rule </w:t>
      </w:r>
      <w:r w:rsidRPr="004961BD">
        <w:rPr>
          <w:i/>
        </w:rPr>
        <w:t>at §155.206</w:t>
      </w:r>
      <w:r>
        <w:rPr>
          <w:b/>
        </w:rPr>
        <w:t xml:space="preserve"> </w:t>
      </w:r>
      <w:r w:rsidRPr="004961BD">
        <w:rPr>
          <w:i/>
        </w:rPr>
        <w:t>to apply to assiste</w:t>
      </w:r>
      <w:r>
        <w:rPr>
          <w:i/>
        </w:rPr>
        <w:t>rs operating in states with state-based marketplaces, or require SMBs to adopt the federal rules or implement similar provisions.</w:t>
      </w:r>
    </w:p>
    <w:p w14:paraId="7C4149F0" w14:textId="77777777" w:rsidR="009D395D" w:rsidRDefault="009D395D">
      <w:pPr>
        <w:rPr>
          <w:rFonts w:ascii="Cambria" w:hAnsi="Cambria"/>
          <w:b/>
          <w:u w:val="single"/>
        </w:rPr>
      </w:pPr>
    </w:p>
    <w:p w14:paraId="6126B723" w14:textId="287B19D8" w:rsidR="005401C6" w:rsidRPr="001431FB" w:rsidRDefault="00A04150">
      <w:pPr>
        <w:rPr>
          <w:b/>
          <w:u w:val="single"/>
        </w:rPr>
      </w:pPr>
      <w:r w:rsidRPr="001431FB">
        <w:rPr>
          <w:rFonts w:ascii="Cambria" w:hAnsi="Cambria"/>
          <w:b/>
          <w:u w:val="single"/>
        </w:rPr>
        <w:t>§</w:t>
      </w:r>
      <w:r w:rsidR="007F6480">
        <w:rPr>
          <w:b/>
          <w:u w:val="single"/>
        </w:rPr>
        <w:t>155.210 Navigator program standards</w:t>
      </w:r>
      <w:r w:rsidR="001431FB">
        <w:rPr>
          <w:b/>
          <w:u w:val="single"/>
        </w:rPr>
        <w:t>.</w:t>
      </w:r>
    </w:p>
    <w:p w14:paraId="254C9AAD" w14:textId="77777777" w:rsidR="00A04150" w:rsidRDefault="00A04150"/>
    <w:p w14:paraId="76D1F7DF" w14:textId="3E612525" w:rsidR="00C84FF7" w:rsidRDefault="00587871">
      <w:pPr>
        <w:rPr>
          <w:b/>
        </w:rPr>
      </w:pPr>
      <w:r w:rsidRPr="00587871">
        <w:rPr>
          <w:rFonts w:ascii="Cambria" w:hAnsi="Cambria"/>
          <w:b/>
          <w:i/>
        </w:rPr>
        <w:t>§</w:t>
      </w:r>
      <w:r w:rsidRPr="00587871">
        <w:rPr>
          <w:b/>
          <w:i/>
        </w:rPr>
        <w:t>155.210</w:t>
      </w:r>
      <w:r>
        <w:rPr>
          <w:b/>
          <w:i/>
        </w:rPr>
        <w:t>(c)(1)(iii)</w:t>
      </w:r>
      <w:r w:rsidR="00C84FF7">
        <w:rPr>
          <w:b/>
          <w:i/>
        </w:rPr>
        <w:t>(A-F</w:t>
      </w:r>
      <w:r w:rsidR="00EE717D">
        <w:rPr>
          <w:b/>
          <w:i/>
        </w:rPr>
        <w:t>)</w:t>
      </w:r>
      <w:r w:rsidR="00EE717D">
        <w:rPr>
          <w:b/>
        </w:rPr>
        <w:t xml:space="preserve"> Entities</w:t>
      </w:r>
      <w:r w:rsidR="00C84FF7" w:rsidRPr="00C84FF7">
        <w:rPr>
          <w:b/>
          <w:i/>
        </w:rPr>
        <w:t xml:space="preserve"> and individuals eligible to be a Navigator.</w:t>
      </w:r>
    </w:p>
    <w:p w14:paraId="1953971C" w14:textId="3924239B" w:rsidR="001A621C" w:rsidRDefault="007F6480">
      <w:r>
        <w:t>State laws governing navigators, non-navigator assisters and certified application counselors have made it difficult, and sometimes, impossible for organizations to serve in these roles or fulfill their duties as required by the ACA</w:t>
      </w:r>
      <w:r w:rsidR="00A55D21">
        <w:t>.</w:t>
      </w:r>
      <w:r>
        <w:t xml:space="preserve"> These l</w:t>
      </w:r>
      <w:r w:rsidR="009A2A4C">
        <w:t xml:space="preserve">aws, and their requirements, </w:t>
      </w:r>
      <w:r>
        <w:t>have</w:t>
      </w:r>
      <w:r w:rsidR="009A2A4C">
        <w:t xml:space="preserve"> had</w:t>
      </w:r>
      <w:r>
        <w:t xml:space="preserve"> a chilling and financial impact on navigators and assisters. Thus, we </w:t>
      </w:r>
      <w:r w:rsidR="00C84FF7">
        <w:t xml:space="preserve">strongly </w:t>
      </w:r>
      <w:r>
        <w:t>support CMS’ proposal to identify specific circumstances when these</w:t>
      </w:r>
      <w:r w:rsidR="009A2A4C">
        <w:t xml:space="preserve"> laws go too far and to provide</w:t>
      </w:r>
      <w:r>
        <w:t xml:space="preserve"> flexibility under 155.201(c)(1)(iii)(F) for CMS to determine other circumstances that are not explicitly described in 155.210(c)(1)(iii)(A-E).</w:t>
      </w:r>
    </w:p>
    <w:p w14:paraId="5757B3B3" w14:textId="77777777" w:rsidR="000B0BB5" w:rsidRDefault="000B0BB5"/>
    <w:p w14:paraId="3A93AB00" w14:textId="6B5934B2" w:rsidR="009A2A4C" w:rsidRPr="000B0BB5" w:rsidRDefault="00EE717D" w:rsidP="009A2A4C">
      <w:pPr>
        <w:rPr>
          <w:b/>
        </w:rPr>
      </w:pPr>
      <w:r w:rsidRPr="001431FB">
        <w:rPr>
          <w:rFonts w:ascii="Cambria" w:hAnsi="Cambria"/>
          <w:b/>
          <w:u w:val="single"/>
        </w:rPr>
        <w:t>§</w:t>
      </w:r>
      <w:r w:rsidR="000B0BB5" w:rsidRPr="000B0BB5">
        <w:rPr>
          <w:b/>
        </w:rPr>
        <w:t>155.210(c)(1)(iii)(A)</w:t>
      </w:r>
    </w:p>
    <w:p w14:paraId="4E13F564" w14:textId="49600A0B" w:rsidR="009A2A4C" w:rsidRDefault="009A2A4C" w:rsidP="000B0BB5">
      <w:r>
        <w:lastRenderedPageBreak/>
        <w:t xml:space="preserve">Strengthen </w:t>
      </w:r>
      <w:r w:rsidR="000B0BB5">
        <w:t>this rule</w:t>
      </w:r>
      <w:r>
        <w:t xml:space="preserve"> to expressly include insurance agents and brokers who are not otherwise required to provide fair, accurate and impartial information, as discussed in the preamble. This does not necessarily prevent referrals to agents and brokers. States can take action similar to California, where agents and brokers can be certified as enrollment counselors but are required to provide fair, accurate and impartial information about the full range of QHPs.</w:t>
      </w:r>
      <w:r w:rsidR="00915C85" w:rsidRPr="00915C85">
        <w:t xml:space="preserve"> </w:t>
      </w:r>
      <w:r w:rsidR="00915C85">
        <w:t>The rule should also encompass that it is intended to encompass information about the full range of QHPs.</w:t>
      </w:r>
    </w:p>
    <w:p w14:paraId="2DA074C0" w14:textId="77777777" w:rsidR="000B0BB5" w:rsidRDefault="000B0BB5" w:rsidP="000B0BB5">
      <w:pPr>
        <w:rPr>
          <w:b/>
        </w:rPr>
      </w:pPr>
    </w:p>
    <w:p w14:paraId="232620C0" w14:textId="28580C02" w:rsidR="00915C85" w:rsidRDefault="000B0BB5" w:rsidP="00915C85">
      <w:pPr>
        <w:ind w:firstLine="720"/>
        <w:rPr>
          <w:b/>
        </w:rPr>
      </w:pPr>
      <w:r>
        <w:rPr>
          <w:b/>
        </w:rPr>
        <w:t>Recommendation:</w:t>
      </w:r>
      <w:r>
        <w:t xml:space="preserve"> amend</w:t>
      </w:r>
      <w:r w:rsidR="00915C85">
        <w:t xml:space="preserve"> the proposed rule</w:t>
      </w:r>
      <w:r>
        <w:t xml:space="preserve"> </w:t>
      </w:r>
      <w:r w:rsidRPr="000B0BB5">
        <w:t>155.210(c)(1)(iii)(A)</w:t>
      </w:r>
      <w:r>
        <w:t xml:space="preserve"> as follows:</w:t>
      </w:r>
    </w:p>
    <w:p w14:paraId="6CFBA1B6" w14:textId="614E7DE6" w:rsidR="009A2A4C" w:rsidRPr="00915C85" w:rsidRDefault="00915C85" w:rsidP="00915C85">
      <w:pPr>
        <w:ind w:left="720"/>
        <w:rPr>
          <w:b/>
        </w:rPr>
      </w:pPr>
      <w:r w:rsidRPr="00915C85">
        <w:rPr>
          <w:i/>
        </w:rPr>
        <w:t>(A)</w:t>
      </w:r>
      <w:r>
        <w:t xml:space="preserve"> </w:t>
      </w:r>
      <w:r w:rsidR="009A2A4C" w:rsidRPr="00915C85">
        <w:rPr>
          <w:i/>
        </w:rPr>
        <w:t xml:space="preserve">Except as otherwise provided under </w:t>
      </w:r>
      <w:r w:rsidR="009A2A4C" w:rsidRPr="00915C85">
        <w:rPr>
          <w:rFonts w:ascii="Lucida Grande" w:hAnsi="Lucida Grande" w:cs="Lucida Grande"/>
          <w:i/>
          <w:color w:val="000000"/>
        </w:rPr>
        <w:t>§</w:t>
      </w:r>
      <w:r w:rsidR="009A2A4C" w:rsidRPr="00915C85">
        <w:rPr>
          <w:rFonts w:cs="Lucida Grande"/>
          <w:i/>
          <w:color w:val="000000"/>
        </w:rPr>
        <w:t xml:space="preserve"> 155.705(d), requirements that Navigators refer </w:t>
      </w:r>
      <w:r w:rsidR="00391A22" w:rsidRPr="00915C85">
        <w:rPr>
          <w:rFonts w:cs="Lucida Grande"/>
          <w:i/>
          <w:color w:val="000000"/>
        </w:rPr>
        <w:t xml:space="preserve">consumers to </w:t>
      </w:r>
      <w:r w:rsidR="009A2A4C" w:rsidRPr="00915C85">
        <w:rPr>
          <w:rFonts w:cs="Lucida Grande"/>
          <w:i/>
          <w:color w:val="000000"/>
        </w:rPr>
        <w:t>other entities</w:t>
      </w:r>
      <w:r w:rsidR="00391A22" w:rsidRPr="00915C85">
        <w:rPr>
          <w:rFonts w:cs="Lucida Grande"/>
          <w:i/>
          <w:color w:val="000000"/>
          <w:u w:val="single"/>
        </w:rPr>
        <w:t>,</w:t>
      </w:r>
      <w:r w:rsidR="000B0BB5" w:rsidRPr="00915C85">
        <w:rPr>
          <w:rFonts w:cs="Lucida Grande"/>
          <w:i/>
          <w:color w:val="000000"/>
          <w:u w:val="single"/>
        </w:rPr>
        <w:t xml:space="preserve"> including licensed agents or brokers,</w:t>
      </w:r>
      <w:r w:rsidR="009A2A4C" w:rsidRPr="00915C85">
        <w:rPr>
          <w:rFonts w:cs="Lucida Grande"/>
          <w:i/>
          <w:color w:val="000000"/>
        </w:rPr>
        <w:t xml:space="preserve"> that are not required to provide fair, accurate, and impartial information </w:t>
      </w:r>
      <w:r w:rsidR="009A2A4C" w:rsidRPr="00915C85">
        <w:rPr>
          <w:rFonts w:cs="Lucida Grande"/>
          <w:i/>
          <w:color w:val="000000"/>
          <w:u w:val="single"/>
        </w:rPr>
        <w:t>about the full range of QHPs</w:t>
      </w:r>
      <w:r w:rsidR="009A2A4C" w:rsidRPr="00915C85">
        <w:rPr>
          <w:rFonts w:cs="Lucida Grande"/>
          <w:i/>
          <w:color w:val="000000"/>
        </w:rPr>
        <w:t>.</w:t>
      </w:r>
    </w:p>
    <w:p w14:paraId="49560004" w14:textId="77777777" w:rsidR="00915C85" w:rsidRDefault="00915C85" w:rsidP="00915C85"/>
    <w:p w14:paraId="034B6F7A" w14:textId="49CD2628" w:rsidR="00915C85" w:rsidRPr="00915C85" w:rsidRDefault="00EE717D" w:rsidP="00915C85">
      <w:pPr>
        <w:rPr>
          <w:b/>
        </w:rPr>
      </w:pPr>
      <w:r w:rsidRPr="00EE717D">
        <w:rPr>
          <w:rFonts w:ascii="Cambria" w:hAnsi="Cambria"/>
          <w:b/>
        </w:rPr>
        <w:t>§</w:t>
      </w:r>
      <w:r w:rsidR="00915C85" w:rsidRPr="00915C85">
        <w:rPr>
          <w:b/>
        </w:rPr>
        <w:t>155.210(c)(1)(iii)(C)</w:t>
      </w:r>
    </w:p>
    <w:p w14:paraId="3C69072A" w14:textId="6418CA8F" w:rsidR="00C562AD" w:rsidRDefault="00C562AD" w:rsidP="00915C85">
      <w:r>
        <w:t xml:space="preserve">We particularly support the inclusion of the word “advice” in 155.210(c)(1)(iii)(C) as the use of this word was prominent in boilerplate language that was been proposed and has been enacted in a number of states. We encourage you to retain this language in the final rule. </w:t>
      </w:r>
    </w:p>
    <w:p w14:paraId="2A176128" w14:textId="77777777" w:rsidR="00915C85" w:rsidRDefault="00915C85" w:rsidP="00915C85">
      <w:pPr>
        <w:rPr>
          <w:b/>
        </w:rPr>
      </w:pPr>
    </w:p>
    <w:p w14:paraId="6DBED98D" w14:textId="5E3D99B5" w:rsidR="00915C85" w:rsidRDefault="00EE717D" w:rsidP="00915C85">
      <w:pPr>
        <w:rPr>
          <w:b/>
        </w:rPr>
      </w:pPr>
      <w:r w:rsidRPr="00EE717D">
        <w:rPr>
          <w:rFonts w:ascii="Cambria" w:hAnsi="Cambria"/>
          <w:b/>
        </w:rPr>
        <w:t>§</w:t>
      </w:r>
      <w:r w:rsidR="00915C85" w:rsidRPr="00915C85">
        <w:rPr>
          <w:b/>
        </w:rPr>
        <w:t>155.210(c)(1)(iii)(D)</w:t>
      </w:r>
    </w:p>
    <w:p w14:paraId="7BB0B0CB" w14:textId="6CB5F2E6" w:rsidR="00915C85" w:rsidRDefault="00915C85" w:rsidP="00915C85">
      <w:pPr>
        <w:rPr>
          <w:b/>
        </w:rPr>
      </w:pPr>
      <w:r>
        <w:t xml:space="preserve">In some states, navigators have reported difficult in securing surety bonds because of the unwillingness of carriers to underwrite a business service for which it is difficult to assess risk. We recommend including surety bonds in </w:t>
      </w:r>
      <w:r w:rsidR="00EE717D">
        <w:t xml:space="preserve">this prohibition. Based on regulations at </w:t>
      </w:r>
      <w:r w:rsidR="00EE717D" w:rsidRPr="00EE717D">
        <w:rPr>
          <w:rFonts w:ascii="Cambria" w:hAnsi="Cambria"/>
        </w:rPr>
        <w:t>§</w:t>
      </w:r>
      <w:r w:rsidR="00EE717D">
        <w:t xml:space="preserve">155.420(d)(4) and </w:t>
      </w:r>
      <w:r w:rsidR="00EE717D" w:rsidRPr="00EE717D">
        <w:rPr>
          <w:rFonts w:ascii="Cambria" w:hAnsi="Cambria"/>
        </w:rPr>
        <w:t>§</w:t>
      </w:r>
      <w:r w:rsidR="00EE717D">
        <w:t xml:space="preserve">155.420(d)(10), CMS has the authority to grant consumers a </w:t>
      </w:r>
      <w:r>
        <w:t>special enrollment period</w:t>
      </w:r>
      <w:r w:rsidR="00EE717D">
        <w:t xml:space="preserve"> if there has been misinformation, misrepresentation, or misconduct by HHS, the marketplace, or its instrumentalities, </w:t>
      </w:r>
      <w:r w:rsidR="00B811A5">
        <w:t xml:space="preserve">and to establish an appropriate effective date at </w:t>
      </w:r>
      <w:r w:rsidR="00B811A5" w:rsidRPr="00EE717D">
        <w:rPr>
          <w:rFonts w:ascii="Cambria" w:hAnsi="Cambria"/>
        </w:rPr>
        <w:t>§</w:t>
      </w:r>
      <w:r w:rsidR="00B811A5">
        <w:t>155.420(b)(2)(ii) based on the circumstances</w:t>
      </w:r>
      <w:r w:rsidR="00EE717D">
        <w:t xml:space="preserve">. </w:t>
      </w:r>
      <w:r w:rsidR="00B811A5">
        <w:t>We believe the combination of these rules provide important protections for consumers.</w:t>
      </w:r>
    </w:p>
    <w:p w14:paraId="447B6610" w14:textId="77777777" w:rsidR="00915C85" w:rsidRPr="00915C85" w:rsidRDefault="00915C85" w:rsidP="00915C85">
      <w:pPr>
        <w:rPr>
          <w:b/>
        </w:rPr>
      </w:pPr>
    </w:p>
    <w:p w14:paraId="13383C3B" w14:textId="0054D6D9" w:rsidR="00067F0C" w:rsidRDefault="001A621C" w:rsidP="00C562AD">
      <w:pPr>
        <w:ind w:left="720"/>
      </w:pPr>
      <w:r>
        <w:rPr>
          <w:b/>
        </w:rPr>
        <w:t xml:space="preserve">Recommendation: </w:t>
      </w:r>
      <w:r w:rsidR="007F6480">
        <w:t>Amend the</w:t>
      </w:r>
      <w:r w:rsidR="00C562AD">
        <w:t xml:space="preserve"> rule under 155.210(c)(1)(iii)(D</w:t>
      </w:r>
      <w:r w:rsidR="007F6480">
        <w:t>)</w:t>
      </w:r>
      <w:r w:rsidR="00915C85">
        <w:t xml:space="preserve"> as follows.</w:t>
      </w:r>
      <w:r w:rsidR="000B0BB5">
        <w:t xml:space="preserve"> </w:t>
      </w:r>
    </w:p>
    <w:p w14:paraId="7795B47B" w14:textId="67FCB189" w:rsidR="00C562AD" w:rsidRDefault="00915C85" w:rsidP="00C562AD">
      <w:pPr>
        <w:ind w:left="720"/>
        <w:rPr>
          <w:rFonts w:cs="Lucida Grande"/>
          <w:i/>
          <w:color w:val="000000"/>
        </w:rPr>
      </w:pPr>
      <w:r>
        <w:rPr>
          <w:rFonts w:cs="Lucida Grande"/>
          <w:i/>
          <w:color w:val="000000"/>
        </w:rPr>
        <w:t xml:space="preserve">(D) </w:t>
      </w:r>
      <w:r w:rsidR="00C562AD">
        <w:rPr>
          <w:rFonts w:cs="Lucida Grande"/>
          <w:i/>
          <w:color w:val="000000"/>
        </w:rPr>
        <w:t xml:space="preserve">Requiring that a Navigator hold an agent or broker license, </w:t>
      </w:r>
      <w:r w:rsidR="00C562AD" w:rsidRPr="00FF663D">
        <w:rPr>
          <w:rFonts w:cs="Lucida Grande"/>
          <w:i/>
          <w:iCs/>
          <w:strike/>
          <w:color w:val="000000"/>
        </w:rPr>
        <w:t>or</w:t>
      </w:r>
      <w:r w:rsidR="00C562AD">
        <w:rPr>
          <w:rFonts w:cs="Lucida Grande"/>
          <w:i/>
          <w:color w:val="000000"/>
        </w:rPr>
        <w:t xml:space="preserve"> carry errors or omissions insurance</w:t>
      </w:r>
      <w:r w:rsidR="00FF663D">
        <w:rPr>
          <w:rFonts w:cs="Lucida Grande"/>
          <w:i/>
          <w:color w:val="000000"/>
        </w:rPr>
        <w:t>,</w:t>
      </w:r>
      <w:r w:rsidR="00C562AD">
        <w:rPr>
          <w:rFonts w:cs="Lucida Grande"/>
          <w:i/>
          <w:color w:val="000000"/>
        </w:rPr>
        <w:t xml:space="preserve"> </w:t>
      </w:r>
      <w:r w:rsidR="00C562AD" w:rsidRPr="00391A22">
        <w:rPr>
          <w:rFonts w:cs="Lucida Grande"/>
          <w:i/>
          <w:color w:val="000000"/>
          <w:u w:val="single"/>
        </w:rPr>
        <w:t xml:space="preserve">or </w:t>
      </w:r>
      <w:r w:rsidR="00FF663D">
        <w:rPr>
          <w:rFonts w:cs="Lucida Grande"/>
          <w:i/>
          <w:color w:val="000000"/>
          <w:u w:val="single"/>
        </w:rPr>
        <w:t>secure</w:t>
      </w:r>
      <w:r w:rsidR="00166632">
        <w:rPr>
          <w:rFonts w:cs="Lucida Grande"/>
          <w:i/>
          <w:color w:val="000000"/>
          <w:u w:val="single"/>
        </w:rPr>
        <w:t xml:space="preserve"> a</w:t>
      </w:r>
      <w:r w:rsidR="00FF663D">
        <w:rPr>
          <w:rFonts w:cs="Lucida Grande"/>
          <w:i/>
          <w:color w:val="000000"/>
          <w:u w:val="single"/>
        </w:rPr>
        <w:t xml:space="preserve"> </w:t>
      </w:r>
      <w:r w:rsidR="00C562AD" w:rsidRPr="00391A22">
        <w:rPr>
          <w:rFonts w:cs="Lucida Grande"/>
          <w:i/>
          <w:color w:val="000000"/>
          <w:u w:val="single"/>
        </w:rPr>
        <w:t>surety bond</w:t>
      </w:r>
      <w:r w:rsidR="00C562AD">
        <w:rPr>
          <w:rFonts w:cs="Lucida Grande"/>
          <w:i/>
          <w:color w:val="000000"/>
        </w:rPr>
        <w:t xml:space="preserve">.  </w:t>
      </w:r>
    </w:p>
    <w:p w14:paraId="4B216BA6" w14:textId="7019CDE0" w:rsidR="00587871" w:rsidRDefault="00587871" w:rsidP="00587871">
      <w:pPr>
        <w:rPr>
          <w:b/>
        </w:rPr>
      </w:pPr>
    </w:p>
    <w:p w14:paraId="27ECD117" w14:textId="431E367F" w:rsidR="00915C85" w:rsidRPr="00915C85" w:rsidRDefault="00915C85" w:rsidP="00587871">
      <w:pPr>
        <w:rPr>
          <w:b/>
        </w:rPr>
      </w:pPr>
      <w:r w:rsidRPr="00915C85">
        <w:rPr>
          <w:b/>
        </w:rPr>
        <w:t>155.210(c)(1)(iii)(F)</w:t>
      </w:r>
    </w:p>
    <w:p w14:paraId="7EB2EEE0" w14:textId="76A7B692" w:rsidR="0015603B" w:rsidRDefault="00587871" w:rsidP="00915C85">
      <w:r>
        <w:t xml:space="preserve">We support </w:t>
      </w:r>
      <w:r w:rsidR="00C84FF7">
        <w:t xml:space="preserve">the provision under </w:t>
      </w:r>
      <w:r>
        <w:t xml:space="preserve">155.210(c)(1)(iii)(F) </w:t>
      </w:r>
      <w:r w:rsidR="00C84FF7">
        <w:t xml:space="preserve">allowing CMS to identify other circumstances in which state laws may prevent the application of Title 1 of the Act. We suggest strengthening this </w:t>
      </w:r>
      <w:r>
        <w:t>by including specific language regarding requirements that set unreasonable time limitations and impose unreasonable costs on navigators</w:t>
      </w:r>
      <w:r w:rsidR="00C84FF7">
        <w:t xml:space="preserve"> as follows</w:t>
      </w:r>
      <w:r>
        <w:t>:</w:t>
      </w:r>
    </w:p>
    <w:p w14:paraId="677BF321" w14:textId="77777777" w:rsidR="00915C85" w:rsidRDefault="00915C85" w:rsidP="00915C85"/>
    <w:p w14:paraId="2C6A3B95" w14:textId="1A229D33" w:rsidR="00587871" w:rsidRPr="00915C85" w:rsidRDefault="00915C85" w:rsidP="00587871">
      <w:pPr>
        <w:ind w:left="720"/>
      </w:pPr>
      <w:r>
        <w:rPr>
          <w:b/>
        </w:rPr>
        <w:t xml:space="preserve">Recommendation: </w:t>
      </w:r>
      <w:r>
        <w:t>Amend the proposed rule at 155.210(c)(1)(iii)(F) as follows:</w:t>
      </w:r>
    </w:p>
    <w:p w14:paraId="027C9BA0" w14:textId="30E24878" w:rsidR="00587871" w:rsidRPr="00587871" w:rsidRDefault="00587871" w:rsidP="00587871">
      <w:pPr>
        <w:ind w:left="720"/>
        <w:rPr>
          <w:i/>
        </w:rPr>
      </w:pPr>
      <w:r>
        <w:rPr>
          <w:i/>
        </w:rPr>
        <w:t>(F) In a Federally-facilitated Exchange, imposing standards that would, as applied or as implemented in a State, prevent the application of requirements applicable to the Federally-facilitated Exchange</w:t>
      </w:r>
      <w:r w:rsidRPr="00391A22">
        <w:rPr>
          <w:i/>
          <w:u w:val="single"/>
        </w:rPr>
        <w:t>, including setting unreasonable time limitations on meeting standards or imposing unreasonable costs on navigators</w:t>
      </w:r>
      <w:r>
        <w:rPr>
          <w:i/>
        </w:rPr>
        <w:t xml:space="preserve">. </w:t>
      </w:r>
    </w:p>
    <w:p w14:paraId="1A32F40A" w14:textId="77777777" w:rsidR="007D4033" w:rsidRDefault="007D4033" w:rsidP="00A55D21"/>
    <w:p w14:paraId="2FC8E918" w14:textId="437149C6" w:rsidR="007D4033" w:rsidRPr="00C84FF7" w:rsidRDefault="00C84FF7" w:rsidP="00A55D21">
      <w:pPr>
        <w:rPr>
          <w:b/>
          <w:i/>
        </w:rPr>
      </w:pPr>
      <w:r w:rsidRPr="00587871">
        <w:rPr>
          <w:rFonts w:ascii="Cambria" w:hAnsi="Cambria"/>
          <w:b/>
          <w:i/>
        </w:rPr>
        <w:t>§</w:t>
      </w:r>
      <w:r>
        <w:rPr>
          <w:b/>
          <w:i/>
        </w:rPr>
        <w:t>155.210(d)(5-9) Prohibition on Navigator conduct.</w:t>
      </w:r>
    </w:p>
    <w:p w14:paraId="49A2FFCE" w14:textId="77777777" w:rsidR="007D4033" w:rsidRDefault="007D4033" w:rsidP="00A55D21"/>
    <w:p w14:paraId="6C280020" w14:textId="34C555C4" w:rsidR="00C84FF7" w:rsidRDefault="00C84FF7" w:rsidP="00A55D21">
      <w:r w:rsidRPr="00C84FF7">
        <w:rPr>
          <w:rFonts w:ascii="Cambria" w:hAnsi="Cambria"/>
          <w:b/>
        </w:rPr>
        <w:t>§</w:t>
      </w:r>
      <w:r w:rsidRPr="00C84FF7">
        <w:rPr>
          <w:b/>
        </w:rPr>
        <w:t>155.210(d)(5</w:t>
      </w:r>
      <w:r>
        <w:rPr>
          <w:b/>
        </w:rPr>
        <w:t xml:space="preserve">) </w:t>
      </w:r>
      <w:r w:rsidRPr="00C84FF7">
        <w:t>We support the inclusion of a prohi</w:t>
      </w:r>
      <w:r>
        <w:t>bition on charging applicants or enrollees.</w:t>
      </w:r>
    </w:p>
    <w:p w14:paraId="475C235C" w14:textId="77777777" w:rsidR="00C84FF7" w:rsidRDefault="00C84FF7" w:rsidP="00A55D21"/>
    <w:p w14:paraId="2274E3A2" w14:textId="2DFE3B50" w:rsidR="007B5156" w:rsidRDefault="00C84FF7" w:rsidP="007B5156">
      <w:pPr>
        <w:autoSpaceDE w:val="0"/>
        <w:autoSpaceDN w:val="0"/>
        <w:adjustRightInd w:val="0"/>
        <w:rPr>
          <w:rFonts w:cs="Melior"/>
          <w:color w:val="000000"/>
        </w:rPr>
      </w:pPr>
      <w:r w:rsidRPr="00C84FF7">
        <w:rPr>
          <w:rFonts w:ascii="Cambria" w:hAnsi="Cambria"/>
          <w:b/>
        </w:rPr>
        <w:t>§</w:t>
      </w:r>
      <w:r>
        <w:rPr>
          <w:b/>
        </w:rPr>
        <w:t xml:space="preserve">155.210(d)(6) </w:t>
      </w:r>
      <w:r w:rsidR="00BD1B01">
        <w:t>We agree</w:t>
      </w:r>
      <w:r>
        <w:t xml:space="preserve"> that compensation paid on a per-application, per individual-assisted, or per-enrollment basis</w:t>
      </w:r>
      <w:r w:rsidR="00BD1B01">
        <w:t xml:space="preserve"> provides adverse incentives</w:t>
      </w:r>
      <w:r>
        <w:t xml:space="preserve"> </w:t>
      </w:r>
      <w:r w:rsidR="00BD1B01">
        <w:t>and invites behavior that is not in the best interest of consumers,</w:t>
      </w:r>
      <w:r w:rsidR="00205912">
        <w:t xml:space="preserve"> whether served by a Navigator or </w:t>
      </w:r>
      <w:r w:rsidR="00BD1B01">
        <w:t xml:space="preserve">non-Navigator assister. </w:t>
      </w:r>
      <w:r w:rsidR="007B5156">
        <w:rPr>
          <w:rFonts w:cs="Melior"/>
          <w:color w:val="000000"/>
        </w:rPr>
        <w:t>Assisters paid on a per-application basis may have no incentive to ensure that people successfully enroll in coverage.  Consequently, their focus may be on finishing the application, without prioritizing any post-application activity such as collecting and submitting paper documents to verify eligibility factors or helping people</w:t>
      </w:r>
      <w:r w:rsidR="007764AE">
        <w:rPr>
          <w:rFonts w:cs="Melior"/>
          <w:color w:val="000000"/>
        </w:rPr>
        <w:t xml:space="preserve"> with more complex cases.</w:t>
      </w:r>
    </w:p>
    <w:p w14:paraId="794D907F" w14:textId="77777777" w:rsidR="007B5156" w:rsidRDefault="007B5156" w:rsidP="007B5156">
      <w:pPr>
        <w:autoSpaceDE w:val="0"/>
        <w:autoSpaceDN w:val="0"/>
        <w:adjustRightInd w:val="0"/>
        <w:ind w:firstLine="360"/>
        <w:rPr>
          <w:rFonts w:cs="Melior"/>
          <w:color w:val="000000"/>
        </w:rPr>
      </w:pPr>
    </w:p>
    <w:p w14:paraId="2FAD3F64" w14:textId="0683ED6D" w:rsidR="007B5156" w:rsidRPr="002179C5" w:rsidRDefault="007B5156" w:rsidP="007B5156">
      <w:pPr>
        <w:autoSpaceDE w:val="0"/>
        <w:autoSpaceDN w:val="0"/>
        <w:adjustRightInd w:val="0"/>
        <w:rPr>
          <w:rFonts w:cs="Melior"/>
          <w:color w:val="000000"/>
        </w:rPr>
      </w:pPr>
      <w:r>
        <w:rPr>
          <w:rFonts w:cs="Melior"/>
          <w:color w:val="000000"/>
        </w:rPr>
        <w:t>Moreover</w:t>
      </w:r>
      <w:r w:rsidRPr="002179C5">
        <w:rPr>
          <w:rFonts w:cs="Melior"/>
          <w:color w:val="000000"/>
        </w:rPr>
        <w:t>, we believe that funding models that pay assister e</w:t>
      </w:r>
      <w:r>
        <w:rPr>
          <w:rFonts w:cs="Melior"/>
          <w:color w:val="000000"/>
        </w:rPr>
        <w:t xml:space="preserve">ntities on a per application, </w:t>
      </w:r>
      <w:r w:rsidRPr="002179C5">
        <w:rPr>
          <w:rFonts w:cs="Melior"/>
          <w:color w:val="000000"/>
        </w:rPr>
        <w:t xml:space="preserve">per-individual </w:t>
      </w:r>
      <w:r>
        <w:rPr>
          <w:rFonts w:cs="Melior"/>
          <w:color w:val="000000"/>
        </w:rPr>
        <w:t xml:space="preserve">or per-enrollment </w:t>
      </w:r>
      <w:r w:rsidRPr="002179C5">
        <w:rPr>
          <w:rFonts w:cs="Melior"/>
          <w:color w:val="000000"/>
        </w:rPr>
        <w:t>basis can also be problematic for the same reasons as they are for individuals and</w:t>
      </w:r>
      <w:r w:rsidR="007764AE">
        <w:rPr>
          <w:rFonts w:cs="Melior"/>
          <w:color w:val="000000"/>
        </w:rPr>
        <w:t>,</w:t>
      </w:r>
      <w:r w:rsidRPr="002179C5">
        <w:rPr>
          <w:rFonts w:cs="Melior"/>
          <w:color w:val="000000"/>
        </w:rPr>
        <w:t xml:space="preserve"> therefore</w:t>
      </w:r>
      <w:r w:rsidR="007764AE">
        <w:rPr>
          <w:rFonts w:cs="Melior"/>
          <w:color w:val="000000"/>
        </w:rPr>
        <w:t>,</w:t>
      </w:r>
      <w:r w:rsidRPr="002179C5">
        <w:rPr>
          <w:rFonts w:cs="Melior"/>
          <w:color w:val="000000"/>
        </w:rPr>
        <w:t xml:space="preserve"> we urge CMS</w:t>
      </w:r>
      <w:r>
        <w:rPr>
          <w:rFonts w:cs="Melior"/>
          <w:color w:val="000000"/>
        </w:rPr>
        <w:t xml:space="preserve"> to extend this prohibition to A</w:t>
      </w:r>
      <w:r w:rsidRPr="002179C5">
        <w:rPr>
          <w:rFonts w:cs="Melior"/>
          <w:color w:val="000000"/>
        </w:rPr>
        <w:t xml:space="preserve">ssister entities in the final rule.  Recognizing that </w:t>
      </w:r>
      <w:r w:rsidR="007764AE">
        <w:rPr>
          <w:rFonts w:cs="Melior"/>
          <w:color w:val="000000"/>
        </w:rPr>
        <w:t>at least one state,</w:t>
      </w:r>
      <w:r w:rsidRPr="002179C5">
        <w:rPr>
          <w:rFonts w:cs="Melior"/>
          <w:color w:val="000000"/>
        </w:rPr>
        <w:t xml:space="preserve"> California</w:t>
      </w:r>
      <w:r w:rsidR="007764AE">
        <w:rPr>
          <w:rFonts w:cs="Melior"/>
          <w:color w:val="000000"/>
        </w:rPr>
        <w:t>, has</w:t>
      </w:r>
      <w:r w:rsidRPr="002179C5">
        <w:rPr>
          <w:rFonts w:cs="Melior"/>
          <w:color w:val="000000"/>
        </w:rPr>
        <w:t xml:space="preserve"> already invested significant resources in developing an infrastructure to support such models</w:t>
      </w:r>
      <w:r>
        <w:rPr>
          <w:rFonts w:cs="Melior"/>
          <w:color w:val="000000"/>
        </w:rPr>
        <w:t>, we believe CMS</w:t>
      </w:r>
      <w:r w:rsidRPr="002179C5">
        <w:rPr>
          <w:rFonts w:cs="Melior"/>
          <w:color w:val="000000"/>
        </w:rPr>
        <w:t xml:space="preserve"> should a</w:t>
      </w:r>
      <w:r w:rsidR="007764AE">
        <w:rPr>
          <w:rFonts w:cs="Melior"/>
          <w:color w:val="000000"/>
        </w:rPr>
        <w:t>llow a transition period to implement this rule, recommending that states must come into compliance by the beginning of open enrollment in 2015 for the 2016 coverage year.</w:t>
      </w:r>
    </w:p>
    <w:p w14:paraId="01E25D45" w14:textId="77777777" w:rsidR="00915C85" w:rsidRDefault="00915C85" w:rsidP="00C84FF7"/>
    <w:p w14:paraId="2D138806" w14:textId="6C6B6F06" w:rsidR="001211DD" w:rsidRDefault="001211DD" w:rsidP="00C84FF7">
      <w:r>
        <w:t xml:space="preserve">Further, we suggest </w:t>
      </w:r>
      <w:r w:rsidR="00205912">
        <w:t>that CMS assess the experience of Washington S</w:t>
      </w:r>
      <w:r>
        <w:t>tate, and other states that have in place a performance or outcome incentive-based compensation model for navig</w:t>
      </w:r>
      <w:r w:rsidR="00205912">
        <w:t>ator or non-navigator assisters</w:t>
      </w:r>
      <w:r>
        <w:t xml:space="preserve">. It is likely too early to translate lessons </w:t>
      </w:r>
      <w:r w:rsidR="00205912">
        <w:t>learned into regulatory language</w:t>
      </w:r>
      <w:r>
        <w:t xml:space="preserve"> but understanding the impact of performance-based incentives is important for future sharing o</w:t>
      </w:r>
      <w:r w:rsidR="00205912">
        <w:t>f best practices and potential</w:t>
      </w:r>
      <w:r>
        <w:t xml:space="preserve"> regulatory oversight. </w:t>
      </w:r>
    </w:p>
    <w:p w14:paraId="0E381603" w14:textId="77777777" w:rsidR="007764AE" w:rsidRDefault="007764AE" w:rsidP="00C84FF7"/>
    <w:p w14:paraId="0F46B4ED" w14:textId="77777777" w:rsidR="007764AE" w:rsidRDefault="007764AE" w:rsidP="00C84FF7"/>
    <w:p w14:paraId="18B13966" w14:textId="36B31558" w:rsidR="007764AE" w:rsidRDefault="007764AE" w:rsidP="007764AE">
      <w:pPr>
        <w:ind w:left="720"/>
      </w:pPr>
      <w:r>
        <w:rPr>
          <w:b/>
        </w:rPr>
        <w:t xml:space="preserve">Recommendation: </w:t>
      </w:r>
      <w:r>
        <w:t xml:space="preserve">Amend the rule at </w:t>
      </w:r>
      <w:r w:rsidRPr="007764AE">
        <w:rPr>
          <w:rFonts w:ascii="Cambria" w:hAnsi="Cambria"/>
        </w:rPr>
        <w:t>§</w:t>
      </w:r>
      <w:r w:rsidRPr="007764AE">
        <w:t>155.210(d)(6)</w:t>
      </w:r>
      <w:r>
        <w:t xml:space="preserve"> as follows:</w:t>
      </w:r>
    </w:p>
    <w:p w14:paraId="2697A76A" w14:textId="2FF09D82" w:rsidR="007764AE" w:rsidRPr="007764AE" w:rsidRDefault="007764AE" w:rsidP="007764AE">
      <w:pPr>
        <w:ind w:left="720"/>
        <w:rPr>
          <w:i/>
        </w:rPr>
      </w:pPr>
      <w:r>
        <w:rPr>
          <w:i/>
        </w:rPr>
        <w:t xml:space="preserve">Provide compensation to </w:t>
      </w:r>
      <w:r w:rsidRPr="007764AE">
        <w:rPr>
          <w:i/>
          <w:u w:val="single"/>
        </w:rPr>
        <w:t>Navigator entities or</w:t>
      </w:r>
      <w:r>
        <w:rPr>
          <w:i/>
        </w:rPr>
        <w:t xml:space="preserve"> individual Navigators on a per-application, per-individual-assisted, or per-enrollment basis.</w:t>
      </w:r>
    </w:p>
    <w:p w14:paraId="7F152B52" w14:textId="77777777" w:rsidR="00030427" w:rsidRDefault="00030427" w:rsidP="00C84FF7"/>
    <w:p w14:paraId="0AC22F5F" w14:textId="1340207C" w:rsidR="000F049D" w:rsidRDefault="00030427" w:rsidP="00C84FF7">
      <w:r w:rsidRPr="00C84FF7">
        <w:rPr>
          <w:rFonts w:ascii="Cambria" w:hAnsi="Cambria"/>
          <w:b/>
        </w:rPr>
        <w:t>§</w:t>
      </w:r>
      <w:r>
        <w:rPr>
          <w:b/>
        </w:rPr>
        <w:t>155.210(d)(7)</w:t>
      </w:r>
      <w:r w:rsidR="00205912">
        <w:rPr>
          <w:b/>
        </w:rPr>
        <w:t>,</w:t>
      </w:r>
      <w:r>
        <w:rPr>
          <w:b/>
        </w:rPr>
        <w:t xml:space="preserve"> </w:t>
      </w:r>
      <w:r w:rsidR="000F049D" w:rsidRPr="00C84FF7">
        <w:rPr>
          <w:rFonts w:ascii="Cambria" w:hAnsi="Cambria"/>
          <w:b/>
        </w:rPr>
        <w:t>§</w:t>
      </w:r>
      <w:r w:rsidR="000F049D">
        <w:rPr>
          <w:b/>
        </w:rPr>
        <w:t>155.210(d)(8)</w:t>
      </w:r>
      <w:r w:rsidR="00205912">
        <w:rPr>
          <w:b/>
        </w:rPr>
        <w:t xml:space="preserve"> and </w:t>
      </w:r>
      <w:r w:rsidR="00205912" w:rsidRPr="00C84FF7">
        <w:rPr>
          <w:rFonts w:ascii="Cambria" w:hAnsi="Cambria"/>
          <w:b/>
        </w:rPr>
        <w:t>§</w:t>
      </w:r>
      <w:r w:rsidR="00205912">
        <w:rPr>
          <w:b/>
        </w:rPr>
        <w:t>155.210(d)(9</w:t>
      </w:r>
      <w:r w:rsidR="00EE717D">
        <w:rPr>
          <w:b/>
        </w:rPr>
        <w:t xml:space="preserve">) </w:t>
      </w:r>
      <w:r w:rsidR="00EE717D" w:rsidRPr="009D395D">
        <w:t>We</w:t>
      </w:r>
      <w:r w:rsidR="00384B1A" w:rsidRPr="009D395D">
        <w:t xml:space="preserve"> </w:t>
      </w:r>
      <w:r w:rsidR="00384B1A">
        <w:t>appreciate the intent to block bad actors from engaging in questionable</w:t>
      </w:r>
      <w:r w:rsidR="00205912">
        <w:t xml:space="preserve"> or intentional</w:t>
      </w:r>
      <w:r w:rsidR="00384B1A">
        <w:t xml:space="preserve"> activities, but entities that are likely to engage in these tactics are outside the purview of this regulation. W</w:t>
      </w:r>
      <w:r>
        <w:t>e</w:t>
      </w:r>
      <w:r w:rsidR="00384B1A">
        <w:t xml:space="preserve"> do</w:t>
      </w:r>
      <w:r>
        <w:t xml:space="preserve"> agree that navigators and non-navigator assisters should not be offering inducements</w:t>
      </w:r>
      <w:r w:rsidR="00384B1A">
        <w:t xml:space="preserve"> or using cold-calling techniques</w:t>
      </w:r>
      <w:r w:rsidR="000F049D">
        <w:t xml:space="preserve"> in connection with application assistance or enrollment</w:t>
      </w:r>
      <w:r w:rsidR="00384B1A">
        <w:t>, but both provisions require</w:t>
      </w:r>
      <w:r w:rsidR="007A4785">
        <w:t xml:space="preserve"> additional context and clarity</w:t>
      </w:r>
      <w:r w:rsidR="00384B1A">
        <w:t xml:space="preserve"> that may be </w:t>
      </w:r>
      <w:r w:rsidR="000F049D">
        <w:t>more effectively dealt with in sub-regulatory guidance or contractual agreements</w:t>
      </w:r>
      <w:r w:rsidR="00C35FD7">
        <w:t>, if needed</w:t>
      </w:r>
      <w:r w:rsidR="000F049D">
        <w:t xml:space="preserve">. </w:t>
      </w:r>
      <w:r w:rsidR="00205912">
        <w:t>Generally, we are concerned that these regulations go to</w:t>
      </w:r>
      <w:r w:rsidR="00C35FD7">
        <w:t>o</w:t>
      </w:r>
      <w:r w:rsidR="00205912">
        <w:t xml:space="preserve"> far and will inhibit outreach activities that have proven effective in Medicaid and CHIP, such as promotoras going door-to-door and assisting with access to health coverage. </w:t>
      </w:r>
      <w:r w:rsidR="000E5FCA">
        <w:t xml:space="preserve">(For more information, see: </w:t>
      </w:r>
      <w:hyperlink r:id="rId8" w:history="1">
        <w:r w:rsidR="000E5FCA" w:rsidRPr="00C25868">
          <w:rPr>
            <w:rStyle w:val="Hyperlink"/>
          </w:rPr>
          <w:t>http://www.latinohealthaccess.net/the-promotora-model/</w:t>
        </w:r>
      </w:hyperlink>
      <w:r w:rsidR="000E5FCA">
        <w:t xml:space="preserve">) </w:t>
      </w:r>
    </w:p>
    <w:p w14:paraId="69040688" w14:textId="77777777" w:rsidR="007A4785" w:rsidRDefault="007A4785" w:rsidP="00C84FF7"/>
    <w:p w14:paraId="51A86C37" w14:textId="6FC1631B" w:rsidR="000F049D" w:rsidRDefault="007A4785" w:rsidP="00C84FF7">
      <w:r w:rsidRPr="00C84FF7">
        <w:rPr>
          <w:rFonts w:ascii="Cambria" w:hAnsi="Cambria"/>
          <w:b/>
        </w:rPr>
        <w:t>§</w:t>
      </w:r>
      <w:r>
        <w:rPr>
          <w:b/>
        </w:rPr>
        <w:t>155.210(d)(7)</w:t>
      </w:r>
    </w:p>
    <w:p w14:paraId="7F840E4E" w14:textId="012B2FFA" w:rsidR="00617C12" w:rsidRDefault="007A4785" w:rsidP="00A55D21">
      <w:r>
        <w:t>Regardless of the mechanism used to establish the provision, t</w:t>
      </w:r>
      <w:r w:rsidR="00384B1A">
        <w:t xml:space="preserve">he prohibition on using promotional items should </w:t>
      </w:r>
      <w:r>
        <w:t>expressly NOT</w:t>
      </w:r>
      <w:r w:rsidR="00384B1A">
        <w:t xml:space="preserve"> apply </w:t>
      </w:r>
      <w:r w:rsidR="000F049D">
        <w:t>to outreach</w:t>
      </w:r>
      <w:r w:rsidR="00384B1A">
        <w:t xml:space="preserve"> and public education.</w:t>
      </w:r>
      <w:r w:rsidR="000F049D">
        <w:t xml:space="preserve"> </w:t>
      </w:r>
      <w:r w:rsidR="00384B1A">
        <w:t>Using promotional items are common in outreach and have been used effectively in Medicaid and CHIP to promote awareness</w:t>
      </w:r>
      <w:r w:rsidR="00205912">
        <w:t xml:space="preserve"> of both coverage and consumer assistance</w:t>
      </w:r>
      <w:r w:rsidR="00384B1A">
        <w:t xml:space="preserve">. </w:t>
      </w:r>
      <w:r w:rsidR="00205912">
        <w:t>If this rule is retained, w</w:t>
      </w:r>
      <w:r w:rsidR="00030427">
        <w:t>e urge you to clarify that promotional items used to</w:t>
      </w:r>
      <w:r w:rsidR="00384B1A">
        <w:t xml:space="preserve"> promote the availability of consumer assistance, the marketplace</w:t>
      </w:r>
      <w:r>
        <w:t>,</w:t>
      </w:r>
      <w:r w:rsidR="00384B1A">
        <w:t xml:space="preserve"> or any </w:t>
      </w:r>
      <w:r w:rsidR="00030427">
        <w:t>insurance afforda</w:t>
      </w:r>
      <w:r w:rsidR="00CD6C63">
        <w:t>bility program</w:t>
      </w:r>
      <w:r w:rsidR="005814EC">
        <w:t xml:space="preserve"> are </w:t>
      </w:r>
      <w:r>
        <w:t>n</w:t>
      </w:r>
      <w:r w:rsidR="00CD6C63">
        <w:t>ot barred under this provision.</w:t>
      </w:r>
    </w:p>
    <w:p w14:paraId="0EB41970" w14:textId="77777777" w:rsidR="0088052E" w:rsidRDefault="0088052E" w:rsidP="00A55D21"/>
    <w:p w14:paraId="2E408ADF" w14:textId="5F668033" w:rsidR="0088052E" w:rsidRDefault="0088052E" w:rsidP="0088052E">
      <w:pPr>
        <w:ind w:left="720"/>
      </w:pPr>
      <w:r>
        <w:rPr>
          <w:b/>
        </w:rPr>
        <w:t xml:space="preserve">Recommendation: </w:t>
      </w:r>
      <w:r>
        <w:t>Strike this provision in the final rule. If the proposed rule is retained, a</w:t>
      </w:r>
      <w:r w:rsidRPr="00AF3BE3">
        <w:t xml:space="preserve">mend </w:t>
      </w:r>
      <w:r w:rsidRPr="00AF3BE3">
        <w:rPr>
          <w:rFonts w:ascii="Cambria" w:hAnsi="Cambria"/>
        </w:rPr>
        <w:t>§</w:t>
      </w:r>
      <w:r w:rsidRPr="00AF3BE3">
        <w:t>155.210(d)(</w:t>
      </w:r>
      <w:r>
        <w:t xml:space="preserve">7) as follows to explicitly allow </w:t>
      </w:r>
      <w:r w:rsidR="00B67C46">
        <w:t>the use of promotional items that promote the marketplace or access to assistance through assisters identified at 155.210, 155.215, and 155.210. Outreach should also be explicitly excluded from this provision if it is retained.</w:t>
      </w:r>
    </w:p>
    <w:p w14:paraId="29629894" w14:textId="758F0750" w:rsidR="0088052E" w:rsidRPr="0088052E" w:rsidRDefault="00166632" w:rsidP="0088052E">
      <w:pPr>
        <w:ind w:left="720"/>
        <w:rPr>
          <w:i/>
        </w:rPr>
      </w:pPr>
      <w:r w:rsidRPr="00166632">
        <w:rPr>
          <w:rFonts w:ascii="Cambria" w:hAnsi="Cambria"/>
          <w:i/>
        </w:rPr>
        <w:t>§</w:t>
      </w:r>
      <w:r>
        <w:rPr>
          <w:i/>
        </w:rPr>
        <w:t>155.210(d)</w:t>
      </w:r>
      <w:r w:rsidR="0088052E">
        <w:rPr>
          <w:i/>
        </w:rPr>
        <w:t xml:space="preserve">(7) Provide gifts, including gift cards or cash, unless they are of nominal value, or provide promotional items that market or promote the products or services of third party, </w:t>
      </w:r>
      <w:r w:rsidR="0088052E">
        <w:rPr>
          <w:i/>
          <w:u w:val="single"/>
        </w:rPr>
        <w:t>other than the marketplace or access to assistance through assisters identified at 155.210, 155.215 and 155.210,</w:t>
      </w:r>
      <w:r w:rsidR="0088052E">
        <w:rPr>
          <w:i/>
        </w:rPr>
        <w:t xml:space="preserve"> to any applicant or potential enrollee in connection with or as an inducement for application assistance or enrollment</w:t>
      </w:r>
      <w:r>
        <w:rPr>
          <w:i/>
        </w:rPr>
        <w:t xml:space="preserve"> </w:t>
      </w:r>
      <w:r w:rsidR="007764AE">
        <w:rPr>
          <w:i/>
          <w:u w:val="single"/>
        </w:rPr>
        <w:t>as describ</w:t>
      </w:r>
      <w:r w:rsidRPr="007764AE">
        <w:rPr>
          <w:i/>
          <w:u w:val="single"/>
        </w:rPr>
        <w:t>ed in 155.210(e)(3)</w:t>
      </w:r>
      <w:r w:rsidR="0088052E" w:rsidRPr="007764AE">
        <w:rPr>
          <w:i/>
          <w:u w:val="single"/>
        </w:rPr>
        <w:t>.</w:t>
      </w:r>
    </w:p>
    <w:p w14:paraId="0825B3F6" w14:textId="77777777" w:rsidR="00617C12" w:rsidRDefault="00617C12" w:rsidP="00A55D21">
      <w:pPr>
        <w:rPr>
          <w:rFonts w:ascii="Cambria" w:hAnsi="Cambria"/>
          <w:b/>
        </w:rPr>
      </w:pPr>
    </w:p>
    <w:p w14:paraId="79A30481" w14:textId="7DF0BC19" w:rsidR="00CD6C63" w:rsidRDefault="00CD6C63" w:rsidP="00A55D21">
      <w:r w:rsidRPr="00C84FF7">
        <w:rPr>
          <w:rFonts w:ascii="Cambria" w:hAnsi="Cambria"/>
          <w:b/>
        </w:rPr>
        <w:t>§</w:t>
      </w:r>
      <w:r>
        <w:rPr>
          <w:b/>
        </w:rPr>
        <w:t>155.210(d)(8)</w:t>
      </w:r>
    </w:p>
    <w:p w14:paraId="2EB2D366" w14:textId="65AB363C" w:rsidR="00CB11BD" w:rsidRDefault="00CD6C63" w:rsidP="00CD6C63">
      <w:r>
        <w:t xml:space="preserve">We agree that navigators and non-navigator assisters should not solicit consumers directly to provide application or enrollment assistance without the consumer’s express permission. </w:t>
      </w:r>
      <w:r w:rsidR="00CB11BD">
        <w:rPr>
          <w:rFonts w:cs="Melior"/>
          <w:color w:val="000000"/>
        </w:rPr>
        <w:t>We note, that there may be “bad actors” that may use these types of techniques inappropriately, but we believe the risk is greater that problematic activity will be generated by groups acting outside of the scope of an official assister capacity and therefore are not subject to these rules. Generally</w:t>
      </w:r>
      <w:r w:rsidR="007B5156">
        <w:t xml:space="preserve">, we are concerned that these regulations go too far and will inhibit outreach activities that have proven effective in Medicaid and CHIP, such as promotoras going door-to-door and assisting with access to health coverage. (For more information, see: </w:t>
      </w:r>
      <w:hyperlink r:id="rId9" w:history="1">
        <w:r w:rsidR="007B5156" w:rsidRPr="00C25868">
          <w:rPr>
            <w:rStyle w:val="Hyperlink"/>
          </w:rPr>
          <w:t>http://www.latinohealthaccess.net/the-promotora-model/</w:t>
        </w:r>
      </w:hyperlink>
      <w:r w:rsidR="007B5156">
        <w:t>).</w:t>
      </w:r>
      <w:r w:rsidR="00CB11BD">
        <w:t xml:space="preserve"> </w:t>
      </w:r>
      <w:r w:rsidR="00CB11BD">
        <w:rPr>
          <w:rFonts w:cs="Melior"/>
          <w:color w:val="000000"/>
        </w:rPr>
        <w:t xml:space="preserve">We believe that </w:t>
      </w:r>
      <w:r w:rsidR="00EE717D">
        <w:rPr>
          <w:rFonts w:cs="Melior"/>
          <w:color w:val="000000"/>
        </w:rPr>
        <w:t>assister’s</w:t>
      </w:r>
      <w:r w:rsidR="00CB11BD">
        <w:rPr>
          <w:rFonts w:cs="Melior"/>
          <w:color w:val="000000"/>
        </w:rPr>
        <w:t xml:space="preserve"> activity related to these types of strategies should operate under some parameters. However, the</w:t>
      </w:r>
      <w:r w:rsidR="00CB11BD">
        <w:t xml:space="preserve"> need for additional context and clarity suggests that this issue may be addressed more appropriately in sub-regulatory guidance or contractual agreements.</w:t>
      </w:r>
      <w:r w:rsidR="00CB11BD">
        <w:rPr>
          <w:rFonts w:cs="Melior"/>
          <w:color w:val="000000"/>
        </w:rPr>
        <w:t xml:space="preserve"> </w:t>
      </w:r>
    </w:p>
    <w:p w14:paraId="5C346F5C" w14:textId="77777777" w:rsidR="0088052E" w:rsidRDefault="0088052E" w:rsidP="00CD6C63"/>
    <w:p w14:paraId="7DF92737" w14:textId="296C274C" w:rsidR="0088052E" w:rsidRPr="0088052E" w:rsidRDefault="0088052E" w:rsidP="0088052E">
      <w:pPr>
        <w:ind w:left="720"/>
        <w:rPr>
          <w:i/>
        </w:rPr>
      </w:pPr>
      <w:r>
        <w:rPr>
          <w:b/>
        </w:rPr>
        <w:t xml:space="preserve">Recommendation: </w:t>
      </w:r>
      <w:r>
        <w:t xml:space="preserve">Strike this provision in the final rule. If the proposed rule is retained, </w:t>
      </w:r>
      <w:r w:rsidR="00B67C46">
        <w:t xml:space="preserve">it should be </w:t>
      </w:r>
      <w:r>
        <w:t>a</w:t>
      </w:r>
      <w:r w:rsidRPr="00AF3BE3">
        <w:t>mend</w:t>
      </w:r>
      <w:r w:rsidR="00B67C46">
        <w:t>ed</w:t>
      </w:r>
      <w:r w:rsidRPr="00AF3BE3">
        <w:t xml:space="preserve"> </w:t>
      </w:r>
      <w:r w:rsidRPr="00AF3BE3">
        <w:rPr>
          <w:rFonts w:ascii="Cambria" w:hAnsi="Cambria"/>
        </w:rPr>
        <w:t>§</w:t>
      </w:r>
      <w:r w:rsidRPr="00AF3BE3">
        <w:t>155.210(d)(</w:t>
      </w:r>
      <w:r w:rsidR="00B67C46">
        <w:t>8) to explicitly exclude outreach</w:t>
      </w:r>
      <w:r w:rsidR="00166632">
        <w:t>.</w:t>
      </w:r>
      <w:r w:rsidR="00B67C46">
        <w:t xml:space="preserve"> </w:t>
      </w:r>
      <w:r w:rsidR="00166632" w:rsidRPr="00166632">
        <w:rPr>
          <w:rFonts w:ascii="Cambria" w:hAnsi="Cambria"/>
          <w:i/>
        </w:rPr>
        <w:t>§</w:t>
      </w:r>
      <w:r w:rsidR="00166632">
        <w:rPr>
          <w:i/>
        </w:rPr>
        <w:t>155.210(d)</w:t>
      </w:r>
      <w:r>
        <w:rPr>
          <w:i/>
        </w:rPr>
        <w:t>(8) Solicit any consumer for application or enrollment assistance by going door-to-door or through other unsolicited means of direct contact, including calling a consumer to provide application or enrollment assistance</w:t>
      </w:r>
      <w:r w:rsidR="00166632">
        <w:rPr>
          <w:i/>
        </w:rPr>
        <w:t xml:space="preserve"> </w:t>
      </w:r>
      <w:r w:rsidR="00166632" w:rsidRPr="00166632">
        <w:rPr>
          <w:i/>
          <w:u w:val="single"/>
        </w:rPr>
        <w:t xml:space="preserve">as described in </w:t>
      </w:r>
      <w:r w:rsidR="00166632" w:rsidRPr="00166632">
        <w:rPr>
          <w:rFonts w:ascii="Cambria" w:hAnsi="Cambria"/>
          <w:i/>
          <w:u w:val="single"/>
        </w:rPr>
        <w:t>§155.210(e)(3)</w:t>
      </w:r>
      <w:r>
        <w:rPr>
          <w:i/>
        </w:rPr>
        <w:t xml:space="preserve"> without the consumer initiating the contact.</w:t>
      </w:r>
    </w:p>
    <w:p w14:paraId="359C1FD4" w14:textId="77777777" w:rsidR="005814EC" w:rsidRDefault="005814EC" w:rsidP="00A55D21"/>
    <w:p w14:paraId="167C32A7" w14:textId="31355DF6" w:rsidR="005814EC" w:rsidRDefault="00AF3BE3" w:rsidP="00A55D21">
      <w:r w:rsidRPr="00C84FF7">
        <w:rPr>
          <w:rFonts w:ascii="Cambria" w:hAnsi="Cambria"/>
          <w:b/>
        </w:rPr>
        <w:t>§</w:t>
      </w:r>
      <w:r>
        <w:rPr>
          <w:b/>
        </w:rPr>
        <w:t xml:space="preserve">155.210(d)(9) </w:t>
      </w:r>
      <w:r w:rsidR="006F4DBE">
        <w:t>Organizations have effectively used automated calls for outreach and coverage retention in Medicaid and CHIP. Additionally, o</w:t>
      </w:r>
      <w:r>
        <w:t xml:space="preserve">rganizations that serve as navigators may use automatic dialers for other purposes. For example, healthcare providers may use automatic dialers to remind individuals of appointments or past due payments. </w:t>
      </w:r>
      <w:r w:rsidR="006F4DBE">
        <w:t>If this provision is retained, i</w:t>
      </w:r>
      <w:r>
        <w:t xml:space="preserve">t is important to clarify that this prohibition is related to navigator activities </w:t>
      </w:r>
      <w:r w:rsidR="006F4DBE">
        <w:t xml:space="preserve">at </w:t>
      </w:r>
      <w:r w:rsidR="00166632" w:rsidRPr="00AF3BE3">
        <w:rPr>
          <w:rFonts w:ascii="Cambria" w:hAnsi="Cambria"/>
        </w:rPr>
        <w:t>§</w:t>
      </w:r>
      <w:r w:rsidR="00CB11BD">
        <w:t>155.420(e)(3</w:t>
      </w:r>
      <w:r w:rsidR="006F4DBE">
        <w:t>)</w:t>
      </w:r>
      <w:r>
        <w:t xml:space="preserve">. </w:t>
      </w:r>
      <w:r w:rsidR="00EE717D">
        <w:t xml:space="preserve">If CMS moves forward with finalizing </w:t>
      </w:r>
      <w:r w:rsidR="00EE717D" w:rsidRPr="00362986">
        <w:rPr>
          <w:rFonts w:ascii="Cambria" w:hAnsi="Cambria"/>
        </w:rPr>
        <w:t>§</w:t>
      </w:r>
      <w:r w:rsidR="00EE717D">
        <w:t>155.210(d</w:t>
      </w:r>
      <w:r w:rsidR="00EE717D" w:rsidRPr="00362986">
        <w:t>)</w:t>
      </w:r>
      <w:r w:rsidR="00EE717D">
        <w:t>(9), it should allow the use of automated calls if an assister has an existing relationship with the consumer, which can be particularly effective in promoting retention of coverage.</w:t>
      </w:r>
    </w:p>
    <w:p w14:paraId="3C09FD85" w14:textId="77777777" w:rsidR="00AF3BE3" w:rsidRDefault="00AF3BE3" w:rsidP="00A55D21"/>
    <w:p w14:paraId="1926EA66" w14:textId="2DAA3045" w:rsidR="00AF3BE3" w:rsidRDefault="00AF3BE3" w:rsidP="00AF3BE3">
      <w:pPr>
        <w:ind w:left="720"/>
      </w:pPr>
      <w:r>
        <w:rPr>
          <w:b/>
        </w:rPr>
        <w:t xml:space="preserve">Recommendation: </w:t>
      </w:r>
      <w:r w:rsidR="0088052E">
        <w:t>Strike this provision in the final rule. If the proposed rule is retained, a</w:t>
      </w:r>
      <w:r w:rsidRPr="00AF3BE3">
        <w:t xml:space="preserve">mend </w:t>
      </w:r>
      <w:r w:rsidRPr="00AF3BE3">
        <w:rPr>
          <w:rFonts w:ascii="Cambria" w:hAnsi="Cambria"/>
        </w:rPr>
        <w:t>§</w:t>
      </w:r>
      <w:r w:rsidRPr="00AF3BE3">
        <w:t>155.210(d)(9)</w:t>
      </w:r>
      <w:r>
        <w:t xml:space="preserve"> to read:</w:t>
      </w:r>
    </w:p>
    <w:p w14:paraId="1941D90D" w14:textId="20107D71" w:rsidR="00AF3BE3" w:rsidRDefault="00166632" w:rsidP="00AF3BE3">
      <w:pPr>
        <w:ind w:left="720"/>
        <w:rPr>
          <w:rFonts w:ascii="Cambria" w:hAnsi="Cambria"/>
          <w:i/>
        </w:rPr>
      </w:pPr>
      <w:r w:rsidRPr="00166632">
        <w:rPr>
          <w:rFonts w:ascii="Cambria" w:hAnsi="Cambria"/>
          <w:i/>
        </w:rPr>
        <w:t>§</w:t>
      </w:r>
      <w:r>
        <w:rPr>
          <w:i/>
        </w:rPr>
        <w:t>155.210(d)</w:t>
      </w:r>
      <w:r w:rsidR="00617C12">
        <w:rPr>
          <w:i/>
        </w:rPr>
        <w:t xml:space="preserve">(9) </w:t>
      </w:r>
      <w:r w:rsidR="00AF3BE3">
        <w:rPr>
          <w:i/>
        </w:rPr>
        <w:t xml:space="preserve">Initiate any telephone call </w:t>
      </w:r>
      <w:r w:rsidR="0040565C">
        <w:rPr>
          <w:i/>
        </w:rPr>
        <w:t xml:space="preserve">to a consumer </w:t>
      </w:r>
      <w:r w:rsidR="00AF3BE3">
        <w:rPr>
          <w:i/>
        </w:rPr>
        <w:t xml:space="preserve">using an automatic telephone dialing system </w:t>
      </w:r>
      <w:r w:rsidR="0040565C">
        <w:rPr>
          <w:i/>
        </w:rPr>
        <w:t xml:space="preserve">or artificial or prerecorded voice </w:t>
      </w:r>
      <w:r w:rsidR="0040565C" w:rsidRPr="00391A22">
        <w:rPr>
          <w:i/>
          <w:u w:val="single"/>
        </w:rPr>
        <w:t xml:space="preserve">related to navigator duties as described in </w:t>
      </w:r>
      <w:r w:rsidR="0040565C" w:rsidRPr="00391A22">
        <w:rPr>
          <w:rFonts w:ascii="Cambria" w:hAnsi="Cambria"/>
          <w:i/>
          <w:u w:val="single"/>
        </w:rPr>
        <w:t>§155.210(e)</w:t>
      </w:r>
      <w:r w:rsidR="00CB11BD">
        <w:rPr>
          <w:rFonts w:ascii="Cambria" w:hAnsi="Cambria"/>
          <w:i/>
          <w:u w:val="single"/>
        </w:rPr>
        <w:t>(3</w:t>
      </w:r>
      <w:r w:rsidR="006F4DBE">
        <w:rPr>
          <w:rFonts w:ascii="Cambria" w:hAnsi="Cambria"/>
          <w:i/>
          <w:u w:val="single"/>
        </w:rPr>
        <w:t>)</w:t>
      </w:r>
      <w:r w:rsidR="00EE717D">
        <w:rPr>
          <w:rFonts w:ascii="Cambria" w:hAnsi="Cambria"/>
          <w:i/>
          <w:u w:val="single"/>
        </w:rPr>
        <w:t>, except in cases where the assister has an existing relationship with the consumer.</w:t>
      </w:r>
    </w:p>
    <w:p w14:paraId="55D4E7CF" w14:textId="77777777" w:rsidR="007A4785" w:rsidRPr="00AF3BE3" w:rsidRDefault="007A4785" w:rsidP="00AF3BE3">
      <w:pPr>
        <w:ind w:left="720"/>
        <w:rPr>
          <w:i/>
        </w:rPr>
      </w:pPr>
    </w:p>
    <w:p w14:paraId="2CF41FCC" w14:textId="0A7A8063" w:rsidR="0040565C" w:rsidRPr="00C84FF7" w:rsidRDefault="0040565C" w:rsidP="0040565C">
      <w:pPr>
        <w:rPr>
          <w:b/>
          <w:i/>
        </w:rPr>
      </w:pPr>
      <w:r w:rsidRPr="00587871">
        <w:rPr>
          <w:rFonts w:ascii="Cambria" w:hAnsi="Cambria"/>
          <w:b/>
          <w:i/>
        </w:rPr>
        <w:t>§</w:t>
      </w:r>
      <w:r>
        <w:rPr>
          <w:b/>
          <w:i/>
        </w:rPr>
        <w:t>155.210(e) Navigator duties.</w:t>
      </w:r>
    </w:p>
    <w:p w14:paraId="46E8110A" w14:textId="77777777" w:rsidR="00C84FF7" w:rsidRDefault="00C84FF7" w:rsidP="00A55D21"/>
    <w:p w14:paraId="5E3108A9" w14:textId="3621F62A" w:rsidR="00391A22" w:rsidRDefault="0040565C" w:rsidP="00391A22">
      <w:r w:rsidRPr="0040565C">
        <w:rPr>
          <w:rFonts w:ascii="Cambria" w:hAnsi="Cambria"/>
        </w:rPr>
        <w:t>§</w:t>
      </w:r>
      <w:r w:rsidRPr="0040565C">
        <w:t>155.210(e)</w:t>
      </w:r>
      <w:r>
        <w:t>(6)</w:t>
      </w:r>
      <w:r w:rsidR="004157DA">
        <w:t>(ii)</w:t>
      </w:r>
      <w:r>
        <w:t xml:space="preserve"> requires that navigators obtain an authorization before obtaining access to the applicant’s personally identifiable information, and that the navigator maintains a record of the authorization provided. </w:t>
      </w:r>
    </w:p>
    <w:p w14:paraId="434E41DB" w14:textId="77777777" w:rsidR="00391A22" w:rsidRDefault="00391A22" w:rsidP="00391A22"/>
    <w:p w14:paraId="0F75E5C9" w14:textId="208A8FC5" w:rsidR="00391A22" w:rsidRDefault="00391A22" w:rsidP="00391A22">
      <w:pPr>
        <w:ind w:left="720"/>
        <w:rPr>
          <w:rFonts w:cs="Melior"/>
          <w:color w:val="000000"/>
        </w:rPr>
      </w:pPr>
      <w:r>
        <w:rPr>
          <w:b/>
        </w:rPr>
        <w:t xml:space="preserve">Recommendation: </w:t>
      </w:r>
      <w:r>
        <w:t>We recommend that the FFE identify the period of time for which the authorization is valid (i.e. establish an automatic expiration date, for example, two years</w:t>
      </w:r>
      <w:r w:rsidR="000E40B2" w:rsidRPr="000E40B2">
        <w:t xml:space="preserve"> </w:t>
      </w:r>
      <w:r w:rsidR="000E40B2">
        <w:t>after the date of authorization) and a separate period following</w:t>
      </w:r>
      <w:r>
        <w:t xml:space="preserve"> the expiration during which the navigator or non-navigator entity must retain such records.</w:t>
      </w:r>
      <w:r w:rsidR="008414EE">
        <w:t xml:space="preserve"> </w:t>
      </w:r>
      <w:r w:rsidR="00CB11BD">
        <w:rPr>
          <w:rFonts w:cs="Melior"/>
          <w:color w:val="000000"/>
        </w:rPr>
        <w:t>T</w:t>
      </w:r>
      <w:r w:rsidR="00CB11BD" w:rsidRPr="002179C5">
        <w:rPr>
          <w:rFonts w:cs="Melior"/>
          <w:color w:val="000000"/>
        </w:rPr>
        <w:t xml:space="preserve">he Secretary should create a standard authorization form with stakeholder </w:t>
      </w:r>
      <w:r w:rsidR="00CB11BD">
        <w:rPr>
          <w:rFonts w:cs="Melior"/>
          <w:color w:val="000000"/>
        </w:rPr>
        <w:t>input and provide it as a model</w:t>
      </w:r>
      <w:r w:rsidR="00CB11BD" w:rsidRPr="002179C5">
        <w:rPr>
          <w:rFonts w:cs="Melior"/>
          <w:color w:val="000000"/>
        </w:rPr>
        <w:t xml:space="preserve"> that assisters can opt to use rather than re-creating their own</w:t>
      </w:r>
      <w:r w:rsidR="00176A7E">
        <w:rPr>
          <w:rFonts w:cs="Melior"/>
          <w:color w:val="000000"/>
        </w:rPr>
        <w:t>,</w:t>
      </w:r>
      <w:r w:rsidR="00CB11BD" w:rsidRPr="002179C5">
        <w:rPr>
          <w:rFonts w:cs="Melior"/>
          <w:color w:val="000000"/>
        </w:rPr>
        <w:t xml:space="preserve"> which </w:t>
      </w:r>
      <w:r w:rsidR="003A1E78">
        <w:rPr>
          <w:rFonts w:cs="Melior"/>
          <w:color w:val="000000"/>
        </w:rPr>
        <w:t xml:space="preserve">can be a considerable expense. </w:t>
      </w:r>
      <w:r w:rsidR="00CB11BD" w:rsidRPr="002179C5">
        <w:rPr>
          <w:rFonts w:cs="Melior"/>
          <w:color w:val="000000"/>
        </w:rPr>
        <w:t>The model for</w:t>
      </w:r>
      <w:r w:rsidR="00CB11BD">
        <w:rPr>
          <w:rFonts w:cs="Melior"/>
          <w:color w:val="000000"/>
        </w:rPr>
        <w:t>m</w:t>
      </w:r>
      <w:r w:rsidR="00CB11BD" w:rsidRPr="002179C5">
        <w:rPr>
          <w:rFonts w:cs="Melior"/>
          <w:color w:val="000000"/>
        </w:rPr>
        <w:t xml:space="preserve"> should be develope</w:t>
      </w:r>
      <w:r w:rsidR="00CB11BD">
        <w:rPr>
          <w:rFonts w:cs="Melior"/>
          <w:color w:val="000000"/>
        </w:rPr>
        <w:t xml:space="preserve">d taking into consideration low </w:t>
      </w:r>
      <w:r w:rsidR="00CB11BD" w:rsidRPr="002179C5">
        <w:rPr>
          <w:rFonts w:cs="Melior"/>
          <w:color w:val="000000"/>
        </w:rPr>
        <w:t>literacy</w:t>
      </w:r>
      <w:r w:rsidR="00CB11BD">
        <w:rPr>
          <w:rFonts w:cs="Melior"/>
          <w:color w:val="000000"/>
        </w:rPr>
        <w:t xml:space="preserve"> levels</w:t>
      </w:r>
      <w:r w:rsidR="00CB11BD" w:rsidRPr="002179C5">
        <w:rPr>
          <w:rFonts w:cs="Melior"/>
          <w:color w:val="000000"/>
        </w:rPr>
        <w:t xml:space="preserve"> and should be translated by HHS in</w:t>
      </w:r>
      <w:r w:rsidR="00CB11BD">
        <w:rPr>
          <w:rFonts w:cs="Melior"/>
          <w:color w:val="000000"/>
        </w:rPr>
        <w:t xml:space="preserve"> at least the top 15 languages to meet the language needs in the state</w:t>
      </w:r>
      <w:r w:rsidR="004157DA">
        <w:rPr>
          <w:rFonts w:cs="Melior"/>
          <w:color w:val="000000"/>
        </w:rPr>
        <w:t xml:space="preserve">s served by the FFM. </w:t>
      </w:r>
      <w:r w:rsidR="00176A7E">
        <w:rPr>
          <w:rFonts w:cs="Melior"/>
          <w:color w:val="000000"/>
        </w:rPr>
        <w:t>Assisters</w:t>
      </w:r>
      <w:r w:rsidR="00CB11BD">
        <w:rPr>
          <w:rFonts w:cs="Melior"/>
          <w:color w:val="000000"/>
        </w:rPr>
        <w:t xml:space="preserve"> should also be </w:t>
      </w:r>
      <w:r w:rsidR="004157DA">
        <w:rPr>
          <w:rFonts w:cs="Melior"/>
          <w:color w:val="000000"/>
        </w:rPr>
        <w:t>allowed</w:t>
      </w:r>
      <w:r w:rsidR="00CB11BD">
        <w:rPr>
          <w:rFonts w:cs="Melior"/>
          <w:color w:val="000000"/>
        </w:rPr>
        <w:t xml:space="preserve"> to use voice recording as an acceptable mode to obtain authorization from consumers they are first assisting over the telephone.    </w:t>
      </w:r>
    </w:p>
    <w:p w14:paraId="0FAEF67E" w14:textId="77777777" w:rsidR="000218F6" w:rsidRDefault="000218F6" w:rsidP="00A55D21"/>
    <w:p w14:paraId="469B1B09" w14:textId="50920184" w:rsidR="000218F6" w:rsidRPr="00C84FF7" w:rsidRDefault="000218F6" w:rsidP="000218F6">
      <w:pPr>
        <w:rPr>
          <w:b/>
          <w:i/>
        </w:rPr>
      </w:pPr>
      <w:r w:rsidRPr="00587871">
        <w:rPr>
          <w:rFonts w:ascii="Cambria" w:hAnsi="Cambria"/>
          <w:b/>
          <w:i/>
        </w:rPr>
        <w:t>§</w:t>
      </w:r>
      <w:r>
        <w:rPr>
          <w:b/>
          <w:i/>
        </w:rPr>
        <w:t>155.215 Non-navigator assisters.</w:t>
      </w:r>
    </w:p>
    <w:p w14:paraId="4632FE7D" w14:textId="77777777" w:rsidR="000218F6" w:rsidRDefault="000218F6" w:rsidP="00A55D21"/>
    <w:p w14:paraId="7364476B" w14:textId="5B38FB57" w:rsidR="000218F6" w:rsidRDefault="000218F6" w:rsidP="00A55D21">
      <w:r>
        <w:t>We generally support aligning navigator and non-navigator assister rules. Our comments in the section above on these provisions apply to this section as well.</w:t>
      </w:r>
    </w:p>
    <w:p w14:paraId="6914BA39" w14:textId="77777777" w:rsidR="000218F6" w:rsidRDefault="000218F6" w:rsidP="00A55D21"/>
    <w:p w14:paraId="43A1F5CC" w14:textId="1EC96589" w:rsidR="000218F6" w:rsidRPr="00C84FF7" w:rsidRDefault="000218F6" w:rsidP="000218F6">
      <w:pPr>
        <w:rPr>
          <w:b/>
          <w:i/>
        </w:rPr>
      </w:pPr>
      <w:r w:rsidRPr="00587871">
        <w:rPr>
          <w:rFonts w:ascii="Cambria" w:hAnsi="Cambria"/>
          <w:b/>
          <w:i/>
        </w:rPr>
        <w:t>§</w:t>
      </w:r>
      <w:r>
        <w:rPr>
          <w:b/>
          <w:i/>
        </w:rPr>
        <w:t>155.225 Certified application counselors.</w:t>
      </w:r>
    </w:p>
    <w:p w14:paraId="340F2241" w14:textId="77777777" w:rsidR="000218F6" w:rsidRDefault="000218F6" w:rsidP="00A55D21"/>
    <w:p w14:paraId="3ADAA6E3" w14:textId="7EC1EE38" w:rsidR="00391A22" w:rsidRDefault="00391A22" w:rsidP="00A55D21">
      <w:r w:rsidRPr="00391A22">
        <w:rPr>
          <w:rFonts w:ascii="Cambria" w:hAnsi="Cambria"/>
          <w:b/>
        </w:rPr>
        <w:t>§</w:t>
      </w:r>
      <w:r w:rsidRPr="00391A22">
        <w:rPr>
          <w:b/>
        </w:rPr>
        <w:t>155.225</w:t>
      </w:r>
      <w:r>
        <w:rPr>
          <w:b/>
        </w:rPr>
        <w:t>(d)(</w:t>
      </w:r>
      <w:r w:rsidR="00166632">
        <w:rPr>
          <w:b/>
        </w:rPr>
        <w:t>8)(i-v)</w:t>
      </w:r>
      <w:r w:rsidR="00947C16">
        <w:rPr>
          <w:b/>
        </w:rPr>
        <w:t xml:space="preserve"> </w:t>
      </w:r>
      <w:r w:rsidR="00947C16">
        <w:t xml:space="preserve">We support these provisions with the amendments suggested in our comments on the parallel provisions relating to navigators and non-navigator assisters at </w:t>
      </w:r>
      <w:r w:rsidR="00947C16" w:rsidRPr="00947C16">
        <w:rPr>
          <w:rFonts w:ascii="Cambria" w:hAnsi="Cambria"/>
        </w:rPr>
        <w:t>§</w:t>
      </w:r>
      <w:r w:rsidR="00947C16">
        <w:t>155.210</w:t>
      </w:r>
      <w:r w:rsidR="00947C16" w:rsidRPr="00947C16">
        <w:t>(c)(1)(iii)</w:t>
      </w:r>
      <w:r w:rsidR="008414EE">
        <w:t>. T</w:t>
      </w:r>
      <w:r w:rsidR="00947C16">
        <w:t xml:space="preserve">he provision at </w:t>
      </w:r>
      <w:r w:rsidR="00947C16" w:rsidRPr="00947C16">
        <w:rPr>
          <w:rFonts w:ascii="Cambria" w:hAnsi="Cambria"/>
        </w:rPr>
        <w:t>§</w:t>
      </w:r>
      <w:r w:rsidR="00947C16">
        <w:t>155.210(c</w:t>
      </w:r>
      <w:r w:rsidR="00947C16" w:rsidRPr="00947C16">
        <w:t>)(</w:t>
      </w:r>
      <w:r w:rsidR="00947C16">
        <w:t>1</w:t>
      </w:r>
      <w:r w:rsidR="00947C16" w:rsidRPr="00947C16">
        <w:t>)</w:t>
      </w:r>
      <w:r w:rsidR="00947C16">
        <w:t>(iii</w:t>
      </w:r>
      <w:r w:rsidR="00947C16" w:rsidRPr="00947C16">
        <w:t>)</w:t>
      </w:r>
      <w:r w:rsidR="00947C16">
        <w:t xml:space="preserve">(D) </w:t>
      </w:r>
      <w:r w:rsidR="008414EE">
        <w:t>should also apply to certified application counselors.</w:t>
      </w:r>
    </w:p>
    <w:p w14:paraId="20E16334" w14:textId="77777777" w:rsidR="00947C16" w:rsidRDefault="00947C16" w:rsidP="00A55D21"/>
    <w:p w14:paraId="6145CE08" w14:textId="45062B80" w:rsidR="00947C16" w:rsidRDefault="00947C16" w:rsidP="008414EE">
      <w:pPr>
        <w:ind w:left="720"/>
      </w:pPr>
      <w:r>
        <w:rPr>
          <w:b/>
        </w:rPr>
        <w:t xml:space="preserve">Recommendation: </w:t>
      </w:r>
      <w:r>
        <w:t xml:space="preserve">Add the following language at </w:t>
      </w:r>
      <w:r w:rsidRPr="00947C16">
        <w:rPr>
          <w:rFonts w:ascii="Cambria" w:hAnsi="Cambria"/>
        </w:rPr>
        <w:t>§</w:t>
      </w:r>
      <w:r w:rsidRPr="00947C16">
        <w:t>155.225</w:t>
      </w:r>
      <w:r>
        <w:t>(d</w:t>
      </w:r>
      <w:r w:rsidRPr="00947C16">
        <w:t>)(</w:t>
      </w:r>
      <w:r>
        <w:t>8</w:t>
      </w:r>
      <w:r w:rsidRPr="00947C16">
        <w:t>)(</w:t>
      </w:r>
      <w:r>
        <w:t>iv</w:t>
      </w:r>
      <w:r w:rsidRPr="00947C16">
        <w:t>)</w:t>
      </w:r>
      <w:r>
        <w:t>, and renumber (iv) and (v) accordingly:</w:t>
      </w:r>
    </w:p>
    <w:p w14:paraId="2049A70D" w14:textId="61EA8B35" w:rsidR="00947C16" w:rsidRPr="00617C12" w:rsidRDefault="00947C16" w:rsidP="00947C16">
      <w:pPr>
        <w:ind w:left="720"/>
        <w:rPr>
          <w:i/>
          <w:u w:val="single"/>
        </w:rPr>
      </w:pPr>
      <w:r w:rsidRPr="00617C12">
        <w:rPr>
          <w:rFonts w:ascii="Cambria" w:hAnsi="Cambria"/>
          <w:i/>
          <w:u w:val="single"/>
        </w:rPr>
        <w:t>§</w:t>
      </w:r>
      <w:r w:rsidRPr="00617C12">
        <w:rPr>
          <w:i/>
          <w:u w:val="single"/>
        </w:rPr>
        <w:t>155.225(d)(8)(iv)</w:t>
      </w:r>
      <w:r w:rsidR="000E40B2" w:rsidRPr="00617C12">
        <w:rPr>
          <w:i/>
          <w:u w:val="single"/>
        </w:rPr>
        <w:t xml:space="preserve"> Requiring a certified application counselor hol</w:t>
      </w:r>
      <w:r w:rsidR="00166632">
        <w:rPr>
          <w:i/>
          <w:u w:val="single"/>
        </w:rPr>
        <w:t xml:space="preserve">d an agent or broker license, </w:t>
      </w:r>
      <w:r w:rsidR="000E40B2" w:rsidRPr="00617C12">
        <w:rPr>
          <w:i/>
          <w:u w:val="single"/>
        </w:rPr>
        <w:t>carry errors or omissions insurance</w:t>
      </w:r>
      <w:r w:rsidR="00166632">
        <w:rPr>
          <w:i/>
          <w:u w:val="single"/>
        </w:rPr>
        <w:t>,</w:t>
      </w:r>
      <w:r w:rsidR="000E40B2" w:rsidRPr="00617C12">
        <w:rPr>
          <w:i/>
          <w:u w:val="single"/>
        </w:rPr>
        <w:t xml:space="preserve"> or</w:t>
      </w:r>
      <w:r w:rsidR="00166632">
        <w:rPr>
          <w:i/>
          <w:u w:val="single"/>
        </w:rPr>
        <w:t xml:space="preserve"> secure a</w:t>
      </w:r>
      <w:r w:rsidR="000E40B2" w:rsidRPr="00617C12">
        <w:rPr>
          <w:i/>
          <w:u w:val="single"/>
        </w:rPr>
        <w:t xml:space="preserve"> surety bond.</w:t>
      </w:r>
    </w:p>
    <w:p w14:paraId="74423801" w14:textId="77777777" w:rsidR="000E40B2" w:rsidRDefault="000E40B2" w:rsidP="00947C16">
      <w:pPr>
        <w:ind w:left="720"/>
        <w:rPr>
          <w:i/>
        </w:rPr>
      </w:pPr>
    </w:p>
    <w:p w14:paraId="76019B55" w14:textId="7EBA333B" w:rsidR="000E40B2" w:rsidRDefault="000E40B2" w:rsidP="000E40B2">
      <w:r w:rsidRPr="00391A22">
        <w:rPr>
          <w:rFonts w:ascii="Cambria" w:hAnsi="Cambria"/>
          <w:b/>
        </w:rPr>
        <w:t>§</w:t>
      </w:r>
      <w:r w:rsidRPr="00391A22">
        <w:rPr>
          <w:b/>
        </w:rPr>
        <w:t>155.225</w:t>
      </w:r>
      <w:r>
        <w:rPr>
          <w:b/>
        </w:rPr>
        <w:t xml:space="preserve">(f)(2) </w:t>
      </w:r>
      <w:r w:rsidR="00BF0D57">
        <w:t>requires that CACs secure</w:t>
      </w:r>
      <w:r>
        <w:t xml:space="preserve"> an authorization before obtaining access to the applicant’s personally identifiable information, and that the navigator maintains a record of the authorization provided. </w:t>
      </w:r>
    </w:p>
    <w:p w14:paraId="36B10E7B" w14:textId="77777777" w:rsidR="000E40B2" w:rsidRDefault="000E40B2" w:rsidP="000E40B2"/>
    <w:p w14:paraId="41854F3D" w14:textId="2A8B02E3" w:rsidR="000E40B2" w:rsidRDefault="000E40B2" w:rsidP="000E40B2">
      <w:pPr>
        <w:ind w:left="720"/>
      </w:pPr>
      <w:r>
        <w:rPr>
          <w:b/>
        </w:rPr>
        <w:t xml:space="preserve">Recommendation: </w:t>
      </w:r>
      <w:r w:rsidR="004157DA">
        <w:t xml:space="preserve">See our recommendations at </w:t>
      </w:r>
      <w:r w:rsidR="004157DA" w:rsidRPr="0040565C">
        <w:rPr>
          <w:rFonts w:ascii="Cambria" w:hAnsi="Cambria"/>
        </w:rPr>
        <w:t>§</w:t>
      </w:r>
      <w:r w:rsidR="004157DA" w:rsidRPr="0040565C">
        <w:t>155.210(e)</w:t>
      </w:r>
      <w:r w:rsidR="004157DA">
        <w:t>(6)(ii).</w:t>
      </w:r>
    </w:p>
    <w:p w14:paraId="77BCE5DC" w14:textId="77777777" w:rsidR="00947C16" w:rsidRDefault="00947C16" w:rsidP="00A55D21"/>
    <w:p w14:paraId="5EE6F31D" w14:textId="689349D5" w:rsidR="00362986" w:rsidRPr="00362986" w:rsidRDefault="00362986" w:rsidP="00A55D21">
      <w:proofErr w:type="gramStart"/>
      <w:r w:rsidRPr="00391A22">
        <w:rPr>
          <w:rFonts w:ascii="Cambria" w:hAnsi="Cambria"/>
          <w:b/>
        </w:rPr>
        <w:t>§</w:t>
      </w:r>
      <w:r w:rsidRPr="00391A22">
        <w:rPr>
          <w:b/>
        </w:rPr>
        <w:t>155.225</w:t>
      </w:r>
      <w:r>
        <w:rPr>
          <w:b/>
        </w:rPr>
        <w:t>(g)(1).</w:t>
      </w:r>
      <w:proofErr w:type="gramEnd"/>
      <w:r>
        <w:rPr>
          <w:b/>
        </w:rPr>
        <w:t xml:space="preserve"> </w:t>
      </w:r>
      <w:r>
        <w:t>We support the rule prohibiting CAC entities and individual CACs from imposing charges or fees on consumers</w:t>
      </w:r>
    </w:p>
    <w:p w14:paraId="10A428A6" w14:textId="77777777" w:rsidR="00362986" w:rsidRDefault="00362986" w:rsidP="00A55D21"/>
    <w:p w14:paraId="4DB5BD1A" w14:textId="74BA274A" w:rsidR="00362986" w:rsidRPr="00362986" w:rsidRDefault="00362986" w:rsidP="00A55D21">
      <w:r w:rsidRPr="00391A22">
        <w:rPr>
          <w:rFonts w:ascii="Cambria" w:hAnsi="Cambria"/>
          <w:b/>
        </w:rPr>
        <w:t>§</w:t>
      </w:r>
      <w:r w:rsidRPr="00391A22">
        <w:rPr>
          <w:b/>
        </w:rPr>
        <w:t>155.225</w:t>
      </w:r>
      <w:r>
        <w:rPr>
          <w:b/>
        </w:rPr>
        <w:t xml:space="preserve">(g)(2). </w:t>
      </w:r>
      <w:r>
        <w:t xml:space="preserve">We support the rule at prohibit CACs from receiving compensation from issuers. </w:t>
      </w:r>
    </w:p>
    <w:p w14:paraId="04B82C45" w14:textId="77777777" w:rsidR="00362986" w:rsidRDefault="00362986" w:rsidP="00A55D21"/>
    <w:p w14:paraId="5F67E8E5" w14:textId="17108450" w:rsidR="00501D9E" w:rsidRDefault="000E40B2" w:rsidP="00A55D21">
      <w:r>
        <w:t>While</w:t>
      </w:r>
      <w:r w:rsidR="00501D9E">
        <w:t xml:space="preserve"> we generally support aligning navigator and non-navigator assister rules, we are concerned that well-intended rules</w:t>
      </w:r>
      <w:r w:rsidR="00362986">
        <w:t xml:space="preserve"> </w:t>
      </w:r>
      <w:r w:rsidR="00166632">
        <w:t xml:space="preserve">at </w:t>
      </w:r>
      <w:r w:rsidR="00166632" w:rsidRPr="00362986">
        <w:rPr>
          <w:rFonts w:ascii="Cambria" w:hAnsi="Cambria"/>
        </w:rPr>
        <w:t>§</w:t>
      </w:r>
      <w:r w:rsidR="00166632" w:rsidRPr="00362986">
        <w:t>155.225</w:t>
      </w:r>
      <w:r w:rsidR="00166632">
        <w:t>(g</w:t>
      </w:r>
      <w:r w:rsidR="00166632" w:rsidRPr="00362986">
        <w:t>)</w:t>
      </w:r>
      <w:r w:rsidR="00166632">
        <w:t xml:space="preserve">(3-6) </w:t>
      </w:r>
      <w:r w:rsidR="00501D9E">
        <w:t>to deter bad actors</w:t>
      </w:r>
      <w:r w:rsidR="00362986">
        <w:t xml:space="preserve"> </w:t>
      </w:r>
      <w:r w:rsidR="00501D9E">
        <w:t>will discourage organizations from actively participating as certified application counselors</w:t>
      </w:r>
      <w:r w:rsidR="00391A22">
        <w:t xml:space="preserve"> (CACs)</w:t>
      </w:r>
      <w:r w:rsidR="00501D9E">
        <w:t xml:space="preserve"> designated entities. </w:t>
      </w:r>
      <w:r w:rsidR="00391A22">
        <w:t>Given that CACs do not receive federal funding, imposing too m</w:t>
      </w:r>
      <w:r>
        <w:t>any restrictions could simply dis</w:t>
      </w:r>
      <w:r w:rsidR="00391A22">
        <w:t>cou</w:t>
      </w:r>
      <w:r>
        <w:t xml:space="preserve">rage these organizations </w:t>
      </w:r>
      <w:r w:rsidR="00391A22">
        <w:t>seek</w:t>
      </w:r>
      <w:r>
        <w:t>ing certification</w:t>
      </w:r>
      <w:r w:rsidR="00391A22">
        <w:t xml:space="preserve"> with the marketplace, where their activities can be monitored. </w:t>
      </w:r>
      <w:r w:rsidR="00362986">
        <w:t>Organizations that choose not to become a CAC would then be outside the authority of these rules.</w:t>
      </w:r>
    </w:p>
    <w:p w14:paraId="67E90EDF" w14:textId="77777777" w:rsidR="00BF0D57" w:rsidRDefault="00BF0D57" w:rsidP="00A55D21"/>
    <w:p w14:paraId="72EC5E4B" w14:textId="236C1A37" w:rsidR="00BF0D57" w:rsidRDefault="00BF0D57" w:rsidP="00A55D21">
      <w:r>
        <w:t xml:space="preserve">Regardless of whether the final rules at 155.210(d)(7–9) are adopted as final, we strongly urge that the proposed rules at </w:t>
      </w:r>
      <w:r w:rsidRPr="00362986">
        <w:rPr>
          <w:rFonts w:ascii="Cambria" w:hAnsi="Cambria"/>
        </w:rPr>
        <w:t>§</w:t>
      </w:r>
      <w:r w:rsidRPr="00362986">
        <w:t>155.225</w:t>
      </w:r>
      <w:r>
        <w:t>(g</w:t>
      </w:r>
      <w:r w:rsidRPr="00362986">
        <w:t>)</w:t>
      </w:r>
      <w:r>
        <w:t>(3-6) not be adopted.</w:t>
      </w:r>
      <w:r w:rsidR="00EE717D">
        <w:t xml:space="preserve"> If CMS moves forward with finalizing </w:t>
      </w:r>
      <w:r w:rsidR="00EE717D" w:rsidRPr="00362986">
        <w:rPr>
          <w:rFonts w:ascii="Cambria" w:hAnsi="Cambria"/>
        </w:rPr>
        <w:t>§</w:t>
      </w:r>
      <w:r w:rsidR="00EE717D" w:rsidRPr="00362986">
        <w:t>155.225</w:t>
      </w:r>
      <w:r w:rsidR="00EE717D">
        <w:t>(g</w:t>
      </w:r>
      <w:r w:rsidR="00EE717D" w:rsidRPr="00362986">
        <w:t>)</w:t>
      </w:r>
      <w:r w:rsidR="00EE717D">
        <w:t xml:space="preserve">(6), it should allow the use of automated calls if an assister has an existing relationship with the consumer, which can be particularly effective in promoting retention of coverage. </w:t>
      </w:r>
      <w:r>
        <w:br/>
      </w:r>
    </w:p>
    <w:p w14:paraId="3F2BB18E" w14:textId="4413D8B7" w:rsidR="00391A22" w:rsidRDefault="00BF0D57" w:rsidP="004157DA">
      <w:pPr>
        <w:ind w:left="720"/>
      </w:pPr>
      <w:r>
        <w:rPr>
          <w:b/>
        </w:rPr>
        <w:t xml:space="preserve">Recommendation:  </w:t>
      </w:r>
      <w:r>
        <w:t xml:space="preserve">Strike the provisions at </w:t>
      </w:r>
      <w:r w:rsidRPr="00362986">
        <w:rPr>
          <w:rFonts w:ascii="Cambria" w:hAnsi="Cambria"/>
        </w:rPr>
        <w:t>§</w:t>
      </w:r>
      <w:r w:rsidRPr="00362986">
        <w:t>155.225</w:t>
      </w:r>
      <w:r>
        <w:t>(g</w:t>
      </w:r>
      <w:r w:rsidRPr="00362986">
        <w:t>)</w:t>
      </w:r>
      <w:r>
        <w:t>(3-6).</w:t>
      </w:r>
    </w:p>
    <w:p w14:paraId="79102193" w14:textId="77777777" w:rsidR="009D395D" w:rsidRDefault="009D395D" w:rsidP="00CB11BD">
      <w:pPr>
        <w:rPr>
          <w:b/>
        </w:rPr>
      </w:pPr>
    </w:p>
    <w:p w14:paraId="4074F28E" w14:textId="5F6BC28F" w:rsidR="004157DA" w:rsidRPr="004157DA" w:rsidRDefault="004157DA" w:rsidP="00CB11BD">
      <w:pPr>
        <w:rPr>
          <w:b/>
        </w:rPr>
      </w:pPr>
      <w:r>
        <w:rPr>
          <w:b/>
        </w:rPr>
        <w:t>Additional Recommendations for Sub-regulatory Guidance</w:t>
      </w:r>
    </w:p>
    <w:p w14:paraId="6F5A742E" w14:textId="6D473290" w:rsidR="00CB11BD" w:rsidRDefault="00CB11BD" w:rsidP="00CB11BD">
      <w:r>
        <w:t xml:space="preserve">Assisters are confused about when they are able to contact consumers, and the lack of clarity is interfering with outreach and the effective deployment of assistance. For example, when are assisters able to follow-up with an individual they encountered at an outreach event, or when can they follow-up with a consumer who was referred to them by an outreach partner? Do they have to secure express permission to follow-up with these individual? </w:t>
      </w:r>
      <w:r w:rsidR="004157DA">
        <w:t>It is vitally important that CMS provide very clear guidance to assisters of all types on when such contact is permissible and when it is not. It also</w:t>
      </w:r>
      <w:r>
        <w:t xml:space="preserve"> would be immensely helpful for CMS to provide tools, such as simple “request for contact” forms</w:t>
      </w:r>
      <w:r w:rsidR="004157DA">
        <w:t xml:space="preserve">, using the same guidelines described in our recommendations at  </w:t>
      </w:r>
      <w:r w:rsidR="004157DA" w:rsidRPr="0040565C">
        <w:rPr>
          <w:rFonts w:ascii="Cambria" w:hAnsi="Cambria"/>
        </w:rPr>
        <w:t>§</w:t>
      </w:r>
      <w:r w:rsidR="004157DA" w:rsidRPr="0040565C">
        <w:t>155.210(e)</w:t>
      </w:r>
      <w:r w:rsidR="004157DA">
        <w:t>(6)(ii),</w:t>
      </w:r>
      <w:r>
        <w:t xml:space="preserve"> that can be used at outreach events to secure such permission. </w:t>
      </w:r>
    </w:p>
    <w:p w14:paraId="1702B7AE" w14:textId="77777777" w:rsidR="00EE717D" w:rsidRDefault="00EE717D" w:rsidP="00CB11BD"/>
    <w:p w14:paraId="5E4D4668" w14:textId="3B7EE7A1" w:rsidR="00EE717D" w:rsidRDefault="00EE717D" w:rsidP="00CB11BD">
      <w:r>
        <w:t>To maximize the reach of limited assistance resources, it is important that assisters be allowed to provide help over the phone. We urge CMS establish parameters for phone assistance</w:t>
      </w:r>
      <w:r w:rsidR="009D395D">
        <w:t xml:space="preserve"> in reasonable ways that protect consumers</w:t>
      </w:r>
      <w:r>
        <w:t>, after consulting with stakeholders and assisters.</w:t>
      </w:r>
    </w:p>
    <w:p w14:paraId="66C40B0C" w14:textId="77777777" w:rsidR="000A062C" w:rsidRDefault="000A062C" w:rsidP="003A1E78"/>
    <w:p w14:paraId="692A6E14" w14:textId="044983A5" w:rsidR="004961BD" w:rsidRDefault="004961BD" w:rsidP="003A1E78">
      <w:pPr>
        <w:rPr>
          <w:b/>
        </w:rPr>
      </w:pPr>
      <w:r w:rsidRPr="00391A22">
        <w:rPr>
          <w:rFonts w:ascii="Cambria" w:hAnsi="Cambria"/>
          <w:b/>
        </w:rPr>
        <w:t>§</w:t>
      </w:r>
      <w:r w:rsidRPr="00391A22">
        <w:rPr>
          <w:b/>
        </w:rPr>
        <w:t>155.</w:t>
      </w:r>
      <w:r>
        <w:rPr>
          <w:b/>
        </w:rPr>
        <w:t>250 Payment of Premium</w:t>
      </w:r>
    </w:p>
    <w:p w14:paraId="0A734C79" w14:textId="77777777" w:rsidR="004961BD" w:rsidRDefault="004961BD" w:rsidP="003A1E78">
      <w:pPr>
        <w:rPr>
          <w:b/>
        </w:rPr>
      </w:pPr>
    </w:p>
    <w:p w14:paraId="134C0193" w14:textId="29A2C139" w:rsidR="004961BD" w:rsidRDefault="004961BD" w:rsidP="003A1E78">
      <w:r>
        <w:t xml:space="preserve">We strongly support this rule requiring the proration of partial coverage months. We </w:t>
      </w:r>
      <w:r w:rsidR="008A6F48">
        <w:t>recommend that</w:t>
      </w:r>
      <w:r>
        <w:t xml:space="preserve"> </w:t>
      </w:r>
      <w:r w:rsidR="008A6F48">
        <w:t xml:space="preserve">state-based marketplaces </w:t>
      </w:r>
      <w:r>
        <w:t>be required</w:t>
      </w:r>
      <w:r w:rsidR="008A6F48">
        <w:t xml:space="preserve"> to</w:t>
      </w:r>
      <w:r>
        <w:t xml:space="preserve"> implement similar provisions.</w:t>
      </w:r>
    </w:p>
    <w:p w14:paraId="1FA7FD21" w14:textId="77777777" w:rsidR="004961BD" w:rsidRDefault="004961BD" w:rsidP="003A1E78"/>
    <w:p w14:paraId="0AA6AF10" w14:textId="136EDF34" w:rsidR="004961BD" w:rsidRPr="004961BD" w:rsidRDefault="004961BD" w:rsidP="004961BD">
      <w:pPr>
        <w:rPr>
          <w:b/>
        </w:rPr>
      </w:pPr>
      <w:proofErr w:type="gramStart"/>
      <w:r w:rsidRPr="00391A22">
        <w:rPr>
          <w:rFonts w:ascii="Cambria" w:hAnsi="Cambria"/>
          <w:b/>
        </w:rPr>
        <w:t>§</w:t>
      </w:r>
      <w:r w:rsidRPr="00391A22">
        <w:rPr>
          <w:b/>
        </w:rPr>
        <w:t>155.</w:t>
      </w:r>
      <w:r>
        <w:rPr>
          <w:b/>
        </w:rPr>
        <w:t xml:space="preserve">285 </w:t>
      </w:r>
      <w:r w:rsidRPr="004961BD">
        <w:rPr>
          <w:b/>
        </w:rPr>
        <w:t>Bases and process for imposing civil penalties for provision of false or fraudulent information to an Exchange or improper use or disclosure of information.</w:t>
      </w:r>
      <w:proofErr w:type="gramEnd"/>
    </w:p>
    <w:p w14:paraId="1BCDF6E5" w14:textId="77777777" w:rsidR="004961BD" w:rsidRDefault="004961BD" w:rsidP="003A1E78"/>
    <w:p w14:paraId="61458A28" w14:textId="55DABAAA" w:rsidR="008A6F48" w:rsidRPr="008A6F48" w:rsidRDefault="004961BD" w:rsidP="008A6F48">
      <w:r>
        <w:t xml:space="preserve">We strongly oppose this rule application to navigators, non-navigator assisters or certified application counselors. </w:t>
      </w:r>
      <w:r w:rsidR="008A6F48">
        <w:t>T</w:t>
      </w:r>
      <w:r w:rsidR="008A6F48" w:rsidRPr="008A6F48">
        <w:t xml:space="preserve">he preamble suggests that consumer assistance personnel could be subject to civil penalties for providing false or incorrect information under the provisions of the rule that apply to the application process.  While this is not explicit in the rule, the preamble states that it should be up to HHS to determine whether it is appropriate to assess a penalty under proposed §155.258 or under proposed §155.206, which provides for civil monetary penalties for violation of Exchange standards by consumer assistance entities operating in the FFE.  </w:t>
      </w:r>
    </w:p>
    <w:p w14:paraId="43D204DC" w14:textId="77777777" w:rsidR="008A6F48" w:rsidRPr="008A6F48" w:rsidRDefault="008A6F48" w:rsidP="008A6F48"/>
    <w:p w14:paraId="6B114E13" w14:textId="53519610" w:rsidR="008A6F48" w:rsidRDefault="008A6F48" w:rsidP="008A6F48">
      <w:r w:rsidRPr="008A6F48">
        <w:t>It is difficult to see how a consumer assistance entity could be penalized for providing incorrect or false or fraudulent information in violation of 1411(h), because assisters do not actually provide information as part of the process applying for coverage or an exemption</w:t>
      </w:r>
      <w:r>
        <w:t>.</w:t>
      </w:r>
      <w:r w:rsidRPr="008A6F48">
        <w:t xml:space="preserve"> </w:t>
      </w:r>
      <w:proofErr w:type="gramStart"/>
      <w:r w:rsidRPr="008A6F48">
        <w:t>It</w:t>
      </w:r>
      <w:proofErr w:type="gramEnd"/>
      <w:r w:rsidRPr="008A6F48">
        <w:t xml:space="preserve"> is certainly conceivable that an assister could cause the applicant to provide incorrect information — in which case the applicant could be able to claim the reasonable cause exemption to the penalty for acting in good faith.  In that situation, the assister should be held responsible under §155.206 for violating standards of conduct that apply to consumer assistance entities.  </w:t>
      </w:r>
    </w:p>
    <w:p w14:paraId="7BF6CF7B" w14:textId="77777777" w:rsidR="008A6F48" w:rsidRDefault="008A6F48" w:rsidP="008A6F48"/>
    <w:p w14:paraId="433EAF74" w14:textId="77777777" w:rsidR="008A6F48" w:rsidRDefault="008A6F48" w:rsidP="008A6F48">
      <w:pPr>
        <w:ind w:left="720"/>
        <w:rPr>
          <w:i/>
        </w:rPr>
      </w:pPr>
      <w:r>
        <w:rPr>
          <w:b/>
        </w:rPr>
        <w:t xml:space="preserve">Recommendation: </w:t>
      </w:r>
      <w:r w:rsidRPr="008A6F48">
        <w:t xml:space="preserve">Amend the rule at </w:t>
      </w:r>
      <w:r w:rsidRPr="008A6F48">
        <w:rPr>
          <w:rFonts w:ascii="Cambria" w:hAnsi="Cambria"/>
        </w:rPr>
        <w:t>§</w:t>
      </w:r>
      <w:r w:rsidRPr="008A6F48">
        <w:t xml:space="preserve">155.285 </w:t>
      </w:r>
      <w:r w:rsidRPr="008A6F48">
        <w:t>(a)(iii)(C)</w:t>
      </w:r>
      <w:r w:rsidRPr="008A6F48">
        <w:t>(2)</w:t>
      </w:r>
      <w:r w:rsidRPr="008A6F48">
        <w:t xml:space="preserve"> as follows:</w:t>
      </w:r>
    </w:p>
    <w:p w14:paraId="6DC4301B" w14:textId="111C4E5A" w:rsidR="008A6F48" w:rsidRPr="008A6F48" w:rsidRDefault="008A6F48" w:rsidP="008A6F48">
      <w:pPr>
        <w:ind w:left="720"/>
        <w:rPr>
          <w:i/>
        </w:rPr>
      </w:pPr>
      <w:r w:rsidRPr="008A6F48">
        <w:rPr>
          <w:i/>
        </w:rPr>
        <w:t xml:space="preserve">For purposes of this section, the term “person” is defined to include, but is not limited to, all individuals; corporations; Exchanges; Medicaid and CHIP agencies; other entities gaining access to personally identifiable information submitted to an Exchange to carry out additional functions which the Secretary has determined ensure the efficient operation of the Exchange pursuant to §155.260(a)(1); and non-Exchange entities as defined in §155.260(b) which includes agents, brokers, Web-brokers, QHP issuers, </w:t>
      </w:r>
      <w:r w:rsidRPr="008A6F48">
        <w:rPr>
          <w:i/>
          <w:strike/>
        </w:rPr>
        <w:t>Navigators, non-Navigator assistance personnel; certified application counselors, in-person assistors,</w:t>
      </w:r>
      <w:r w:rsidRPr="008A6F48">
        <w:rPr>
          <w:i/>
        </w:rPr>
        <w:t xml:space="preserve"> and other third party contractors. </w:t>
      </w:r>
    </w:p>
    <w:p w14:paraId="4682A28F" w14:textId="1CA331FA" w:rsidR="008A6F48" w:rsidRPr="008A6F48" w:rsidRDefault="008A6F48" w:rsidP="008A6F48">
      <w:pPr>
        <w:ind w:left="720"/>
        <w:rPr>
          <w:i/>
        </w:rPr>
      </w:pPr>
    </w:p>
    <w:p w14:paraId="1F75935A" w14:textId="7CA2A5C7" w:rsidR="004961BD" w:rsidRDefault="004961BD" w:rsidP="003A1E78"/>
    <w:sectPr w:rsidR="004961BD" w:rsidSect="00485C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233D6" w14:textId="77777777" w:rsidR="004961BD" w:rsidRDefault="004961BD" w:rsidP="009D395D">
      <w:r>
        <w:separator/>
      </w:r>
    </w:p>
  </w:endnote>
  <w:endnote w:type="continuationSeparator" w:id="0">
    <w:p w14:paraId="567938C9" w14:textId="77777777" w:rsidR="004961BD" w:rsidRDefault="004961BD" w:rsidP="009D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104BCF" w14:textId="77777777" w:rsidR="004961BD" w:rsidRDefault="004961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70B7C4" w14:textId="77777777" w:rsidR="004961BD" w:rsidRDefault="004961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D482BF" w14:textId="77777777" w:rsidR="004961BD" w:rsidRDefault="004961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6BCDF" w14:textId="77777777" w:rsidR="004961BD" w:rsidRDefault="004961BD" w:rsidP="009D395D">
      <w:r>
        <w:separator/>
      </w:r>
    </w:p>
  </w:footnote>
  <w:footnote w:type="continuationSeparator" w:id="0">
    <w:p w14:paraId="7D6E2CC7" w14:textId="77777777" w:rsidR="004961BD" w:rsidRDefault="004961BD" w:rsidP="009D39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43E0E5" w14:textId="37A6BC9B" w:rsidR="004961BD" w:rsidRDefault="004961BD">
    <w:pPr>
      <w:pStyle w:val="Header"/>
    </w:pPr>
    <w:r>
      <w:rPr>
        <w:noProof/>
      </w:rPr>
      <w:pict w14:anchorId="7A29FB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04.85pt;height:54.95pt;rotation:315;z-index:-251649024;mso-wrap-edited:f;mso-position-horizontal:center;mso-position-horizontal-relative:margin;mso-position-vertical:center;mso-position-vertical-relative:margin" wrapcoords="21224 7989 19992 7989 19482 5621 19134 4438 19000 5917 19000 9764 18812 8284 18410 7101 17874 4438 17767 5030 17714 5621 17606 8284 17204 8580 17204 8580 17231 10652 16802 6805 16561 8876 16347 8580 15999 7101 15838 8876 15382 5326 14953 3254 14819 4438 14551 4438 14498 5030 14605 8580 14578 14498 13774 8876 13479 7101 13345 7989 12541 5917 12327 7397 12300 9468 12434 11539 11684 7101 11443 5917 11335 6509 10692 8580 10478 10060 10076 8284 9781 7693 9138 4438 8977 5621 9111 7989 8120 3846 7878 4142 7852 4734 7932 8580 7369 7989 7423 9764 6780 5917 6404 3846 6136 4438 5895 6213 5815 7101 6083 14498 5225 10947 4770 11539 4770 13019 3591 2071 3296 5030 3081 8284 1393 8284 964 5621 428 2958 107 4734 107 5326 187 10060 133 15682 107 16273 214 17457 1768 17457 1795 17161 1688 13315 1983 16273 2492 18641 2706 17457 3537 17457 3537 17161 3430 12427 4046 18641 4314 16273 3993 12131 6753 35210 5279 13019 5547 15090 6270 18936 6378 18049 6565 16569 6699 15090 6914 16865 7450 18641 7610 18049 8146 17457 9031 21600 9192 20416 9245 18936 9299 16569 9942 18049 9969 17753 10210 16865 10264 15682 10183 13315 10532 16865 10960 18641 11175 17161 11737 18049 11898 16569 11684 10060 12193 15090 12809 18641 12997 17161 13667 18049 13881 15682 13935 14498 14042 15386 14766 18345 14873 18049 16106 18049 16427 16569 16481 15978 16427 15090 17124 18049 17204 16865 17901 18049 18464 17753 18544 18345 18732 17161 18866 15682 19402 17457 19456 16865 19348 14202 19616 16569 20099 18641 20286 17457 20956 18049 21546 17457 21492 12131 21466 10652 21224 7989" fillcolor="silver" stroked="f">
          <v:textpath style="font-family:&quot;Cambria&quot;;font-size:1pt" string="Draft - Subject to Revision"/>
          <w10:wrap anchorx="margin" anchory="margin"/>
        </v:shape>
      </w:pict>
    </w:r>
    <w:r>
      <w:rPr>
        <w:noProof/>
      </w:rPr>
      <w:pict w14:anchorId="56BAA3C6">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3286A0" w14:textId="2D0CA563" w:rsidR="004961BD" w:rsidRDefault="004961BD">
    <w:pPr>
      <w:pStyle w:val="Header"/>
    </w:pPr>
    <w:r>
      <w:rPr>
        <w:noProof/>
      </w:rPr>
      <w:pict w14:anchorId="30B1B8D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04.85pt;height:54.95pt;rotation:315;z-index:-251651072;mso-wrap-edited:f;mso-position-horizontal:center;mso-position-horizontal-relative:margin;mso-position-vertical:center;mso-position-vertical-relative:margin" wrapcoords="21224 7989 19992 7989 19482 5621 19134 4438 19000 5917 19000 9764 18812 8284 18410 7101 17874 4438 17767 5030 17714 5621 17606 8284 17204 8580 17204 8580 17231 10652 16802 6805 16561 8876 16347 8580 15999 7101 15838 8876 15382 5326 14953 3254 14819 4438 14551 4438 14498 5030 14605 8580 14578 14498 13774 8876 13479 7101 13345 7989 12541 5917 12327 7397 12300 9468 12434 11539 11684 7101 11443 5917 11335 6509 10692 8580 10478 10060 10076 8284 9781 7693 9138 4438 8977 5621 9111 7989 8120 3846 7878 4142 7852 4734 7932 8580 7369 7989 7423 9764 6780 5917 6404 3846 6136 4438 5895 6213 5815 7101 6083 14498 5225 10947 4770 11539 4770 13019 3591 2071 3296 5030 3081 8284 1393 8284 964 5621 428 2958 107 4734 107 5326 187 10060 133 15682 107 16273 214 17457 1768 17457 1795 17161 1688 13315 1983 16273 2492 18641 2706 17457 3537 17457 3537 17161 3430 12427 4046 18641 4314 16273 3993 12131 6753 35210 5279 13019 5547 15090 6270 18936 6378 18049 6565 16569 6699 15090 6914 16865 7450 18641 7610 18049 8146 17457 9031 21600 9192 20416 9245 18936 9299 16569 9942 18049 9969 17753 10210 16865 10264 15682 10183 13315 10532 16865 10960 18641 11175 17161 11737 18049 11898 16569 11684 10060 12193 15090 12809 18641 12997 17161 13667 18049 13881 15682 13935 14498 14042 15386 14766 18345 14873 18049 16106 18049 16427 16569 16481 15978 16427 15090 17124 18049 17204 16865 17901 18049 18464 17753 18544 18345 18732 17161 18866 15682 19402 17457 19456 16865 19348 14202 19616 16569 20099 18641 20286 17457 20956 18049 21546 17457 21492 12131 21466 10652 21224 7989" fillcolor="silver" stroked="f">
          <v:textpath style="font-family:&quot;Cambria&quot;;font-size:1pt" string="Draft - Subject to Revision"/>
          <w10:wrap anchorx="margin" anchory="margin"/>
        </v:shape>
      </w:pict>
    </w:r>
    <w:r>
      <w:rPr>
        <w:noProof/>
      </w:rPr>
      <w:pict w14:anchorId="2722A35A">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2DFEE6" w14:textId="5AFA8F7E" w:rsidR="004961BD" w:rsidRDefault="004961BD">
    <w:pPr>
      <w:pStyle w:val="Header"/>
    </w:pPr>
    <w:r>
      <w:rPr>
        <w:noProof/>
      </w:rPr>
      <w:pict w14:anchorId="2C913D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604.85pt;height:54.95pt;rotation:315;z-index:-251646976;mso-wrap-edited:f;mso-position-horizontal:center;mso-position-horizontal-relative:margin;mso-position-vertical:center;mso-position-vertical-relative:margin" wrapcoords="21224 7989 19992 7989 19482 5621 19134 4438 19000 5917 19000 9764 18812 8284 18410 7101 17874 4438 17767 5030 17714 5621 17606 8284 17204 8580 17204 8580 17231 10652 16802 6805 16561 8876 16347 8580 15999 7101 15838 8876 15382 5326 14953 3254 14819 4438 14551 4438 14498 5030 14605 8580 14578 14498 13774 8876 13479 7101 13345 7989 12541 5917 12327 7397 12300 9468 12434 11539 11684 7101 11443 5917 11335 6509 10692 8580 10478 10060 10076 8284 9781 7693 9138 4438 8977 5621 9111 7989 8120 3846 7878 4142 7852 4734 7932 8580 7369 7989 7423 9764 6780 5917 6404 3846 6136 4438 5895 6213 5815 7101 6083 14498 5225 10947 4770 11539 4770 13019 3591 2071 3296 5030 3081 8284 1393 8284 964 5621 428 2958 107 4734 107 5326 187 10060 133 15682 107 16273 214 17457 1768 17457 1795 17161 1688 13315 1983 16273 2492 18641 2706 17457 3537 17457 3537 17161 3430 12427 4046 18641 4314 16273 3993 12131 6753 35210 5279 13019 5547 15090 6270 18936 6378 18049 6565 16569 6699 15090 6914 16865 7450 18641 7610 18049 8146 17457 9031 21600 9192 20416 9245 18936 9299 16569 9942 18049 9969 17753 10210 16865 10264 15682 10183 13315 10532 16865 10960 18641 11175 17161 11737 18049 11898 16569 11684 10060 12193 15090 12809 18641 12997 17161 13667 18049 13881 15682 13935 14498 14042 15386 14766 18345 14873 18049 16106 18049 16427 16569 16481 15978 16427 15090 17124 18049 17204 16865 17901 18049 18464 17753 18544 18345 18732 17161 18866 15682 19402 17457 19456 16865 19348 14202 19616 16569 20099 18641 20286 17457 20956 18049 21546 17457 21492 12131 21466 10652 21224 7989" fillcolor="silver" stroked="f">
          <v:textpath style="font-family:&quot;Cambria&quot;;font-size:1pt" string="Draft - Subject to Revision"/>
          <w10:wrap anchorx="margin" anchory="margin"/>
        </v:shape>
      </w:pict>
    </w:r>
    <w:r>
      <w:rPr>
        <w:noProof/>
      </w:rPr>
      <w:pict w14:anchorId="15BB521D">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6C14"/>
    <w:multiLevelType w:val="hybridMultilevel"/>
    <w:tmpl w:val="69623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209BD"/>
    <w:multiLevelType w:val="hybridMultilevel"/>
    <w:tmpl w:val="6FFEC350"/>
    <w:lvl w:ilvl="0" w:tplc="44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64B6B"/>
    <w:multiLevelType w:val="hybridMultilevel"/>
    <w:tmpl w:val="D3CCC2A4"/>
    <w:lvl w:ilvl="0" w:tplc="47D4101E">
      <w:start w:val="1"/>
      <w:numFmt w:val="upperLetter"/>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1E16E6"/>
    <w:multiLevelType w:val="hybridMultilevel"/>
    <w:tmpl w:val="36DE6352"/>
    <w:lvl w:ilvl="0" w:tplc="4A7CE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507D1"/>
    <w:multiLevelType w:val="hybridMultilevel"/>
    <w:tmpl w:val="A698A09E"/>
    <w:lvl w:ilvl="0" w:tplc="ED402E9C">
      <w:start w:val="1"/>
      <w:numFmt w:val="upperLetter"/>
      <w:lvlText w:val="(%1)"/>
      <w:lvlJc w:val="left"/>
      <w:pPr>
        <w:ind w:left="1100" w:hanging="38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936169"/>
    <w:multiLevelType w:val="hybridMultilevel"/>
    <w:tmpl w:val="33E2E0D4"/>
    <w:lvl w:ilvl="0" w:tplc="1DF6C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87461"/>
    <w:multiLevelType w:val="hybridMultilevel"/>
    <w:tmpl w:val="7B7E24EA"/>
    <w:lvl w:ilvl="0" w:tplc="CC7671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A47A4"/>
    <w:multiLevelType w:val="hybridMultilevel"/>
    <w:tmpl w:val="27DEC952"/>
    <w:lvl w:ilvl="0" w:tplc="5EFEA9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493512"/>
    <w:multiLevelType w:val="hybridMultilevel"/>
    <w:tmpl w:val="C942662E"/>
    <w:lvl w:ilvl="0" w:tplc="49802A50">
      <w:start w:val="1"/>
      <w:numFmt w:val="upperLetter"/>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50"/>
    <w:rsid w:val="000218F6"/>
    <w:rsid w:val="00030427"/>
    <w:rsid w:val="000338A8"/>
    <w:rsid w:val="000567ED"/>
    <w:rsid w:val="00067F0C"/>
    <w:rsid w:val="00073951"/>
    <w:rsid w:val="00083C8F"/>
    <w:rsid w:val="000A062C"/>
    <w:rsid w:val="000B0BB5"/>
    <w:rsid w:val="000D2D0A"/>
    <w:rsid w:val="000E40B2"/>
    <w:rsid w:val="000E5FCA"/>
    <w:rsid w:val="000F049D"/>
    <w:rsid w:val="001211DD"/>
    <w:rsid w:val="001431FB"/>
    <w:rsid w:val="0015603B"/>
    <w:rsid w:val="00166632"/>
    <w:rsid w:val="00176A7E"/>
    <w:rsid w:val="001A621C"/>
    <w:rsid w:val="001B526D"/>
    <w:rsid w:val="00205912"/>
    <w:rsid w:val="00290975"/>
    <w:rsid w:val="002973DC"/>
    <w:rsid w:val="002B547F"/>
    <w:rsid w:val="002D033D"/>
    <w:rsid w:val="002E43A5"/>
    <w:rsid w:val="00362986"/>
    <w:rsid w:val="00364CC4"/>
    <w:rsid w:val="00384B1A"/>
    <w:rsid w:val="00391A22"/>
    <w:rsid w:val="00395C46"/>
    <w:rsid w:val="003A1E78"/>
    <w:rsid w:val="003E54F2"/>
    <w:rsid w:val="0040565C"/>
    <w:rsid w:val="004157DA"/>
    <w:rsid w:val="00416293"/>
    <w:rsid w:val="00444A27"/>
    <w:rsid w:val="00485C62"/>
    <w:rsid w:val="004961BD"/>
    <w:rsid w:val="004B5AAF"/>
    <w:rsid w:val="00501D9E"/>
    <w:rsid w:val="005401C6"/>
    <w:rsid w:val="005814EC"/>
    <w:rsid w:val="00587871"/>
    <w:rsid w:val="00617C12"/>
    <w:rsid w:val="0067418B"/>
    <w:rsid w:val="006A6DDC"/>
    <w:rsid w:val="006F4DBE"/>
    <w:rsid w:val="006F7516"/>
    <w:rsid w:val="00705BAD"/>
    <w:rsid w:val="00741417"/>
    <w:rsid w:val="007764AE"/>
    <w:rsid w:val="007A4785"/>
    <w:rsid w:val="007A5A64"/>
    <w:rsid w:val="007B5156"/>
    <w:rsid w:val="007B57F4"/>
    <w:rsid w:val="007C3F5E"/>
    <w:rsid w:val="007D2C44"/>
    <w:rsid w:val="007D4033"/>
    <w:rsid w:val="007F6480"/>
    <w:rsid w:val="008414EE"/>
    <w:rsid w:val="0088052E"/>
    <w:rsid w:val="008A6F48"/>
    <w:rsid w:val="008C6DF8"/>
    <w:rsid w:val="00915C85"/>
    <w:rsid w:val="00920E47"/>
    <w:rsid w:val="0092331A"/>
    <w:rsid w:val="00947C16"/>
    <w:rsid w:val="009569CC"/>
    <w:rsid w:val="00965BF3"/>
    <w:rsid w:val="00985588"/>
    <w:rsid w:val="009A2A4C"/>
    <w:rsid w:val="009D1125"/>
    <w:rsid w:val="009D395D"/>
    <w:rsid w:val="00A021F3"/>
    <w:rsid w:val="00A04150"/>
    <w:rsid w:val="00A320FA"/>
    <w:rsid w:val="00A55D21"/>
    <w:rsid w:val="00A975CD"/>
    <w:rsid w:val="00AE4763"/>
    <w:rsid w:val="00AF3BE3"/>
    <w:rsid w:val="00B507C2"/>
    <w:rsid w:val="00B67C46"/>
    <w:rsid w:val="00B811A5"/>
    <w:rsid w:val="00B84083"/>
    <w:rsid w:val="00BC60BF"/>
    <w:rsid w:val="00BD1B01"/>
    <w:rsid w:val="00BE0E89"/>
    <w:rsid w:val="00BE4031"/>
    <w:rsid w:val="00BF0D57"/>
    <w:rsid w:val="00C04F52"/>
    <w:rsid w:val="00C35FD7"/>
    <w:rsid w:val="00C562AD"/>
    <w:rsid w:val="00C84FF7"/>
    <w:rsid w:val="00CA698B"/>
    <w:rsid w:val="00CB11BD"/>
    <w:rsid w:val="00CD6C63"/>
    <w:rsid w:val="00CF6871"/>
    <w:rsid w:val="00D06D14"/>
    <w:rsid w:val="00D22879"/>
    <w:rsid w:val="00D35802"/>
    <w:rsid w:val="00D5162F"/>
    <w:rsid w:val="00D535AC"/>
    <w:rsid w:val="00D63386"/>
    <w:rsid w:val="00D66A6B"/>
    <w:rsid w:val="00D758C3"/>
    <w:rsid w:val="00D913AA"/>
    <w:rsid w:val="00D91DD3"/>
    <w:rsid w:val="00E2446A"/>
    <w:rsid w:val="00E44506"/>
    <w:rsid w:val="00EE48EC"/>
    <w:rsid w:val="00EE717D"/>
    <w:rsid w:val="00F41C0A"/>
    <w:rsid w:val="00F76D35"/>
    <w:rsid w:val="00FC3FD5"/>
    <w:rsid w:val="00FF3333"/>
    <w:rsid w:val="00FF66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1AC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0A"/>
    <w:rPr>
      <w:sz w:val="18"/>
      <w:szCs w:val="18"/>
    </w:rPr>
  </w:style>
  <w:style w:type="paragraph" w:styleId="CommentText">
    <w:name w:val="annotation text"/>
    <w:basedOn w:val="Normal"/>
    <w:link w:val="CommentTextChar"/>
    <w:uiPriority w:val="99"/>
    <w:semiHidden/>
    <w:unhideWhenUsed/>
    <w:rsid w:val="00F41C0A"/>
  </w:style>
  <w:style w:type="character" w:customStyle="1" w:styleId="CommentTextChar">
    <w:name w:val="Comment Text Char"/>
    <w:basedOn w:val="DefaultParagraphFont"/>
    <w:link w:val="CommentText"/>
    <w:uiPriority w:val="99"/>
    <w:semiHidden/>
    <w:rsid w:val="00F41C0A"/>
  </w:style>
  <w:style w:type="paragraph" w:styleId="CommentSubject">
    <w:name w:val="annotation subject"/>
    <w:basedOn w:val="CommentText"/>
    <w:next w:val="CommentText"/>
    <w:link w:val="CommentSubjectChar"/>
    <w:uiPriority w:val="99"/>
    <w:semiHidden/>
    <w:unhideWhenUsed/>
    <w:rsid w:val="00F41C0A"/>
    <w:rPr>
      <w:b/>
      <w:bCs/>
      <w:sz w:val="20"/>
      <w:szCs w:val="20"/>
    </w:rPr>
  </w:style>
  <w:style w:type="character" w:customStyle="1" w:styleId="CommentSubjectChar">
    <w:name w:val="Comment Subject Char"/>
    <w:basedOn w:val="CommentTextChar"/>
    <w:link w:val="CommentSubject"/>
    <w:uiPriority w:val="99"/>
    <w:semiHidden/>
    <w:rsid w:val="00F41C0A"/>
    <w:rPr>
      <w:b/>
      <w:bCs/>
      <w:sz w:val="20"/>
      <w:szCs w:val="20"/>
    </w:rPr>
  </w:style>
  <w:style w:type="paragraph" w:styleId="Revision">
    <w:name w:val="Revision"/>
    <w:hidden/>
    <w:uiPriority w:val="99"/>
    <w:semiHidden/>
    <w:rsid w:val="00F41C0A"/>
  </w:style>
  <w:style w:type="paragraph" w:styleId="BalloonText">
    <w:name w:val="Balloon Text"/>
    <w:basedOn w:val="Normal"/>
    <w:link w:val="BalloonTextChar"/>
    <w:uiPriority w:val="99"/>
    <w:semiHidden/>
    <w:unhideWhenUsed/>
    <w:rsid w:val="00F41C0A"/>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C0A"/>
    <w:rPr>
      <w:rFonts w:ascii="Lucida Grande" w:hAnsi="Lucida Grande"/>
      <w:sz w:val="18"/>
      <w:szCs w:val="18"/>
    </w:rPr>
  </w:style>
  <w:style w:type="paragraph" w:styleId="ListParagraph">
    <w:name w:val="List Paragraph"/>
    <w:basedOn w:val="Normal"/>
    <w:uiPriority w:val="34"/>
    <w:qFormat/>
    <w:rsid w:val="00364CC4"/>
    <w:pPr>
      <w:ind w:left="720"/>
      <w:contextualSpacing/>
    </w:pPr>
  </w:style>
  <w:style w:type="character" w:styleId="Hyperlink">
    <w:name w:val="Hyperlink"/>
    <w:basedOn w:val="DefaultParagraphFont"/>
    <w:uiPriority w:val="99"/>
    <w:unhideWhenUsed/>
    <w:rsid w:val="000E5FCA"/>
    <w:rPr>
      <w:color w:val="0000FF" w:themeColor="hyperlink"/>
      <w:u w:val="single"/>
    </w:rPr>
  </w:style>
  <w:style w:type="paragraph" w:styleId="Header">
    <w:name w:val="header"/>
    <w:basedOn w:val="Normal"/>
    <w:link w:val="HeaderChar"/>
    <w:uiPriority w:val="99"/>
    <w:unhideWhenUsed/>
    <w:rsid w:val="009D395D"/>
    <w:pPr>
      <w:tabs>
        <w:tab w:val="center" w:pos="4320"/>
        <w:tab w:val="right" w:pos="8640"/>
      </w:tabs>
    </w:pPr>
  </w:style>
  <w:style w:type="character" w:customStyle="1" w:styleId="HeaderChar">
    <w:name w:val="Header Char"/>
    <w:basedOn w:val="DefaultParagraphFont"/>
    <w:link w:val="Header"/>
    <w:uiPriority w:val="99"/>
    <w:rsid w:val="009D395D"/>
  </w:style>
  <w:style w:type="paragraph" w:styleId="Footer">
    <w:name w:val="footer"/>
    <w:basedOn w:val="Normal"/>
    <w:link w:val="FooterChar"/>
    <w:uiPriority w:val="99"/>
    <w:unhideWhenUsed/>
    <w:rsid w:val="009D395D"/>
    <w:pPr>
      <w:tabs>
        <w:tab w:val="center" w:pos="4320"/>
        <w:tab w:val="right" w:pos="8640"/>
      </w:tabs>
    </w:pPr>
  </w:style>
  <w:style w:type="character" w:customStyle="1" w:styleId="FooterChar">
    <w:name w:val="Footer Char"/>
    <w:basedOn w:val="DefaultParagraphFont"/>
    <w:link w:val="Footer"/>
    <w:uiPriority w:val="99"/>
    <w:rsid w:val="009D39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0A"/>
    <w:rPr>
      <w:sz w:val="18"/>
      <w:szCs w:val="18"/>
    </w:rPr>
  </w:style>
  <w:style w:type="paragraph" w:styleId="CommentText">
    <w:name w:val="annotation text"/>
    <w:basedOn w:val="Normal"/>
    <w:link w:val="CommentTextChar"/>
    <w:uiPriority w:val="99"/>
    <w:semiHidden/>
    <w:unhideWhenUsed/>
    <w:rsid w:val="00F41C0A"/>
  </w:style>
  <w:style w:type="character" w:customStyle="1" w:styleId="CommentTextChar">
    <w:name w:val="Comment Text Char"/>
    <w:basedOn w:val="DefaultParagraphFont"/>
    <w:link w:val="CommentText"/>
    <w:uiPriority w:val="99"/>
    <w:semiHidden/>
    <w:rsid w:val="00F41C0A"/>
  </w:style>
  <w:style w:type="paragraph" w:styleId="CommentSubject">
    <w:name w:val="annotation subject"/>
    <w:basedOn w:val="CommentText"/>
    <w:next w:val="CommentText"/>
    <w:link w:val="CommentSubjectChar"/>
    <w:uiPriority w:val="99"/>
    <w:semiHidden/>
    <w:unhideWhenUsed/>
    <w:rsid w:val="00F41C0A"/>
    <w:rPr>
      <w:b/>
      <w:bCs/>
      <w:sz w:val="20"/>
      <w:szCs w:val="20"/>
    </w:rPr>
  </w:style>
  <w:style w:type="character" w:customStyle="1" w:styleId="CommentSubjectChar">
    <w:name w:val="Comment Subject Char"/>
    <w:basedOn w:val="CommentTextChar"/>
    <w:link w:val="CommentSubject"/>
    <w:uiPriority w:val="99"/>
    <w:semiHidden/>
    <w:rsid w:val="00F41C0A"/>
    <w:rPr>
      <w:b/>
      <w:bCs/>
      <w:sz w:val="20"/>
      <w:szCs w:val="20"/>
    </w:rPr>
  </w:style>
  <w:style w:type="paragraph" w:styleId="Revision">
    <w:name w:val="Revision"/>
    <w:hidden/>
    <w:uiPriority w:val="99"/>
    <w:semiHidden/>
    <w:rsid w:val="00F41C0A"/>
  </w:style>
  <w:style w:type="paragraph" w:styleId="BalloonText">
    <w:name w:val="Balloon Text"/>
    <w:basedOn w:val="Normal"/>
    <w:link w:val="BalloonTextChar"/>
    <w:uiPriority w:val="99"/>
    <w:semiHidden/>
    <w:unhideWhenUsed/>
    <w:rsid w:val="00F41C0A"/>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C0A"/>
    <w:rPr>
      <w:rFonts w:ascii="Lucida Grande" w:hAnsi="Lucida Grande"/>
      <w:sz w:val="18"/>
      <w:szCs w:val="18"/>
    </w:rPr>
  </w:style>
  <w:style w:type="paragraph" w:styleId="ListParagraph">
    <w:name w:val="List Paragraph"/>
    <w:basedOn w:val="Normal"/>
    <w:uiPriority w:val="34"/>
    <w:qFormat/>
    <w:rsid w:val="00364CC4"/>
    <w:pPr>
      <w:ind w:left="720"/>
      <w:contextualSpacing/>
    </w:pPr>
  </w:style>
  <w:style w:type="character" w:styleId="Hyperlink">
    <w:name w:val="Hyperlink"/>
    <w:basedOn w:val="DefaultParagraphFont"/>
    <w:uiPriority w:val="99"/>
    <w:unhideWhenUsed/>
    <w:rsid w:val="000E5FCA"/>
    <w:rPr>
      <w:color w:val="0000FF" w:themeColor="hyperlink"/>
      <w:u w:val="single"/>
    </w:rPr>
  </w:style>
  <w:style w:type="paragraph" w:styleId="Header">
    <w:name w:val="header"/>
    <w:basedOn w:val="Normal"/>
    <w:link w:val="HeaderChar"/>
    <w:uiPriority w:val="99"/>
    <w:unhideWhenUsed/>
    <w:rsid w:val="009D395D"/>
    <w:pPr>
      <w:tabs>
        <w:tab w:val="center" w:pos="4320"/>
        <w:tab w:val="right" w:pos="8640"/>
      </w:tabs>
    </w:pPr>
  </w:style>
  <w:style w:type="character" w:customStyle="1" w:styleId="HeaderChar">
    <w:name w:val="Header Char"/>
    <w:basedOn w:val="DefaultParagraphFont"/>
    <w:link w:val="Header"/>
    <w:uiPriority w:val="99"/>
    <w:rsid w:val="009D395D"/>
  </w:style>
  <w:style w:type="paragraph" w:styleId="Footer">
    <w:name w:val="footer"/>
    <w:basedOn w:val="Normal"/>
    <w:link w:val="FooterChar"/>
    <w:uiPriority w:val="99"/>
    <w:unhideWhenUsed/>
    <w:rsid w:val="009D395D"/>
    <w:pPr>
      <w:tabs>
        <w:tab w:val="center" w:pos="4320"/>
        <w:tab w:val="right" w:pos="8640"/>
      </w:tabs>
    </w:pPr>
  </w:style>
  <w:style w:type="character" w:customStyle="1" w:styleId="FooterChar">
    <w:name w:val="Footer Char"/>
    <w:basedOn w:val="DefaultParagraphFont"/>
    <w:link w:val="Footer"/>
    <w:uiPriority w:val="99"/>
    <w:rsid w:val="009D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tinohealthaccess.net/the-promotora-model/" TargetMode="External"/><Relationship Id="rId9" Type="http://schemas.openxmlformats.org/officeDocument/2006/relationships/hyperlink" Target="http://www.latinohealthaccess.net/the-promotora-mode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2959</Words>
  <Characters>16868</Characters>
  <Application>Microsoft Macintosh Word</Application>
  <DocSecurity>0</DocSecurity>
  <Lines>140</Lines>
  <Paragraphs>39</Paragraphs>
  <ScaleCrop>false</ScaleCrop>
  <Company>Georgetown University</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Brooks</dc:creator>
  <cp:keywords/>
  <dc:description/>
  <cp:lastModifiedBy>Tricia Brooks</cp:lastModifiedBy>
  <cp:revision>4</cp:revision>
  <cp:lastPrinted>2014-04-16T14:16:00Z</cp:lastPrinted>
  <dcterms:created xsi:type="dcterms:W3CDTF">2014-04-16T14:17:00Z</dcterms:created>
  <dcterms:modified xsi:type="dcterms:W3CDTF">2014-04-17T15:56:00Z</dcterms:modified>
</cp:coreProperties>
</file>